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6E1" w:rsidRPr="00BC76E1" w:rsidRDefault="00BC76E1" w:rsidP="00BC76E1">
      <w:pPr>
        <w:shd w:val="clear" w:color="auto" w:fill="FFFFFF"/>
        <w:spacing w:before="100" w:beforeAutospacing="1" w:after="100" w:afterAutospacing="1" w:line="450" w:lineRule="atLeast"/>
        <w:jc w:val="center"/>
        <w:outlineLvl w:val="0"/>
        <w:rPr>
          <w:rFonts w:ascii="Times New Roman" w:eastAsia="Times New Roman" w:hAnsi="Times New Roman" w:cs="Times New Roman"/>
          <w:color w:val="666666"/>
          <w:kern w:val="36"/>
          <w:sz w:val="24"/>
          <w:szCs w:val="24"/>
          <w:lang w:eastAsia="ru-RU"/>
        </w:rPr>
      </w:pPr>
      <w:bookmarkStart w:id="0" w:name="_GoBack"/>
      <w:r w:rsidRPr="00BC76E1">
        <w:rPr>
          <w:rFonts w:ascii="Times New Roman" w:eastAsia="Times New Roman" w:hAnsi="Times New Roman" w:cs="Times New Roman"/>
          <w:color w:val="666666"/>
          <w:kern w:val="36"/>
          <w:sz w:val="24"/>
          <w:szCs w:val="24"/>
          <w:lang w:eastAsia="ru-RU"/>
        </w:rPr>
        <w:t>СНиП 30-02-97</w:t>
      </w:r>
      <w:bookmarkEnd w:id="0"/>
      <w:r w:rsidRPr="00BC76E1">
        <w:rPr>
          <w:rFonts w:ascii="Times New Roman" w:eastAsia="Times New Roman" w:hAnsi="Times New Roman" w:cs="Times New Roman"/>
          <w:color w:val="666666"/>
          <w:kern w:val="36"/>
          <w:sz w:val="24"/>
          <w:szCs w:val="24"/>
          <w:lang w:eastAsia="ru-RU"/>
        </w:rPr>
        <w:t>* "Планировка и застройка территорий садоводческих (дачных) объединений граждан, здания и сооружения"</w:t>
      </w:r>
    </w:p>
    <w:p w:rsidR="00BC76E1" w:rsidRPr="00BC76E1" w:rsidRDefault="00BC76E1" w:rsidP="00BC76E1">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p>
    <w:p w:rsidR="00BC76E1" w:rsidRPr="00BC76E1" w:rsidRDefault="00BC76E1" w:rsidP="00BC76E1">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Система нормативных документов в строительстве</w:t>
      </w:r>
    </w:p>
    <w:p w:rsidR="00BC76E1" w:rsidRPr="00BC76E1" w:rsidRDefault="00BC76E1" w:rsidP="00BC76E1">
      <w:pPr>
        <w:shd w:val="clear" w:color="auto" w:fill="FFFFFF"/>
        <w:spacing w:after="0" w:line="240" w:lineRule="auto"/>
        <w:jc w:val="center"/>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СТРОИТЕЛЬНЫЕ НОРМЫ И ПРАВИЛА РОССИЙСКОЙ ФЕДЕРАЦИИ</w:t>
      </w:r>
    </w:p>
    <w:p w:rsidR="00BC76E1" w:rsidRPr="00BC76E1" w:rsidRDefault="00BC76E1" w:rsidP="00BC76E1">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ПЛАНИРОВКА И ЗАСТРОЙКА ТЕРРИТОРИЙ САДОВОДЧЕСКИХ ОБЪЕДИНЕНИЙ ГРАЖДАН, ЗДАНИЯ И СООРУЖЕНИЯ</w:t>
      </w:r>
    </w:p>
    <w:p w:rsidR="00BC76E1" w:rsidRPr="00BC76E1" w:rsidRDefault="00BC76E1" w:rsidP="00BC76E1">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СНиП 30-02-97*</w:t>
      </w:r>
    </w:p>
    <w:p w:rsidR="00BC76E1" w:rsidRPr="00BC76E1" w:rsidRDefault="00BC76E1" w:rsidP="00BC76E1">
      <w:pPr>
        <w:shd w:val="clear" w:color="auto" w:fill="FFFFFF"/>
        <w:spacing w:before="100" w:beforeAutospacing="1" w:after="100" w:afterAutospacing="1" w:line="240" w:lineRule="auto"/>
        <w:jc w:val="center"/>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Государственный комитет Российской Федерации по строительству и жилищно-коммунальному комплексу</w:t>
      </w:r>
    </w:p>
    <w:p w:rsidR="00BC76E1" w:rsidRPr="00BC76E1" w:rsidRDefault="00BC76E1" w:rsidP="00BC76E1">
      <w:pPr>
        <w:shd w:val="clear" w:color="auto" w:fill="FFFFFF"/>
        <w:spacing w:before="100" w:beforeAutospacing="1" w:after="100" w:afterAutospacing="1" w:line="240" w:lineRule="auto"/>
        <w:jc w:val="right"/>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(Госстрой России)</w:t>
      </w:r>
    </w:p>
    <w:p w:rsidR="00BC76E1" w:rsidRPr="00BC76E1" w:rsidRDefault="00BC76E1" w:rsidP="00BC76E1">
      <w:pPr>
        <w:shd w:val="clear" w:color="auto" w:fill="FFFFFF"/>
        <w:spacing w:before="100" w:beforeAutospacing="1" w:after="100" w:afterAutospacing="1" w:line="240" w:lineRule="auto"/>
        <w:jc w:val="right"/>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МОСКВА 2001</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Предисловие</w:t>
      </w:r>
    </w:p>
    <w:p w:rsidR="00BC76E1" w:rsidRPr="00BC76E1" w:rsidRDefault="00BC76E1" w:rsidP="00BC76E1">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Разработаны </w:t>
      </w:r>
      <w:proofErr w:type="spellStart"/>
      <w:r w:rsidRPr="00BC76E1">
        <w:rPr>
          <w:rFonts w:ascii="Times New Roman" w:eastAsia="Times New Roman" w:hAnsi="Times New Roman" w:cs="Times New Roman"/>
          <w:color w:val="666666"/>
          <w:sz w:val="24"/>
          <w:szCs w:val="24"/>
          <w:lang w:eastAsia="ru-RU"/>
        </w:rPr>
        <w:t>ЦНИИЭПграждансельстроем</w:t>
      </w:r>
      <w:proofErr w:type="spellEnd"/>
      <w:r w:rsidRPr="00BC76E1">
        <w:rPr>
          <w:rFonts w:ascii="Times New Roman" w:eastAsia="Times New Roman" w:hAnsi="Times New Roman" w:cs="Times New Roman"/>
          <w:color w:val="666666"/>
          <w:sz w:val="24"/>
          <w:szCs w:val="24"/>
          <w:lang w:eastAsia="ru-RU"/>
        </w:rPr>
        <w:t xml:space="preserve"> </w:t>
      </w:r>
      <w:proofErr w:type="spellStart"/>
      <w:r w:rsidRPr="00BC76E1">
        <w:rPr>
          <w:rFonts w:ascii="Times New Roman" w:eastAsia="Times New Roman" w:hAnsi="Times New Roman" w:cs="Times New Roman"/>
          <w:color w:val="666666"/>
          <w:sz w:val="24"/>
          <w:szCs w:val="24"/>
          <w:lang w:eastAsia="ru-RU"/>
        </w:rPr>
        <w:t>Главмособлархитектуры</w:t>
      </w:r>
      <w:proofErr w:type="spellEnd"/>
      <w:r w:rsidRPr="00BC76E1">
        <w:rPr>
          <w:rFonts w:ascii="Times New Roman" w:eastAsia="Times New Roman" w:hAnsi="Times New Roman" w:cs="Times New Roman"/>
          <w:color w:val="666666"/>
          <w:sz w:val="24"/>
          <w:szCs w:val="24"/>
          <w:lang w:eastAsia="ru-RU"/>
        </w:rPr>
        <w:t>, ЦНИИЭП жилища.</w:t>
      </w:r>
    </w:p>
    <w:p w:rsidR="00BC76E1" w:rsidRPr="00BC76E1" w:rsidRDefault="00BC76E1" w:rsidP="00BC76E1">
      <w:pPr>
        <w:shd w:val="clear" w:color="auto" w:fill="FFFFFF"/>
        <w:spacing w:before="100" w:beforeAutospacing="1" w:after="100" w:afterAutospacing="1" w:line="240" w:lineRule="auto"/>
        <w:ind w:left="720"/>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Внесены </w:t>
      </w:r>
      <w:proofErr w:type="spellStart"/>
      <w:r w:rsidRPr="00BC76E1">
        <w:rPr>
          <w:rFonts w:ascii="Times New Roman" w:eastAsia="Times New Roman" w:hAnsi="Times New Roman" w:cs="Times New Roman"/>
          <w:color w:val="666666"/>
          <w:sz w:val="24"/>
          <w:szCs w:val="24"/>
          <w:lang w:eastAsia="ru-RU"/>
        </w:rPr>
        <w:t>ЦНИИЭПграждансельстроем</w:t>
      </w:r>
      <w:proofErr w:type="spell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Подготовлены к утверждению и представлены Управлением градостроительства, инфраструктуры и территориального развития Государственного комитета Российской Федерации по жилищной и строительной политике.</w:t>
      </w:r>
    </w:p>
    <w:p w:rsidR="00BC76E1" w:rsidRPr="00BC76E1" w:rsidRDefault="00BC76E1" w:rsidP="00BC76E1">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Приняты и введены в действие постановлением Госстроя России от 10 сентября 1997 г. № 18-51.</w:t>
      </w:r>
    </w:p>
    <w:p w:rsidR="00BC76E1" w:rsidRPr="00BC76E1" w:rsidRDefault="00BC76E1" w:rsidP="00BC76E1">
      <w:pPr>
        <w:shd w:val="clear" w:color="auto" w:fill="FFFFFF"/>
        <w:spacing w:before="100" w:beforeAutospacing="1" w:after="100" w:afterAutospacing="1" w:line="240" w:lineRule="auto"/>
        <w:ind w:left="720"/>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30-02-97* является переизданием СНиП 30-02-97 с изменением № 1, утвержденным постановлением Госстроя России № 17 от 12.03.2001 г.</w:t>
      </w:r>
    </w:p>
    <w:p w:rsidR="00BC76E1" w:rsidRPr="00BC76E1" w:rsidRDefault="00BC76E1" w:rsidP="00BC76E1">
      <w:pPr>
        <w:shd w:val="clear" w:color="auto" w:fill="FFFFFF"/>
        <w:spacing w:before="100" w:beforeAutospacing="1" w:after="100" w:afterAutospacing="1" w:line="240" w:lineRule="auto"/>
        <w:ind w:left="720"/>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Разделы, пункты и таблицы, в которые внесены изменения, отмечены в настоящих </w:t>
      </w:r>
      <w:proofErr w:type="spellStart"/>
      <w:r w:rsidRPr="00BC76E1">
        <w:rPr>
          <w:rFonts w:ascii="Times New Roman" w:eastAsia="Times New Roman" w:hAnsi="Times New Roman" w:cs="Times New Roman"/>
          <w:color w:val="666666"/>
          <w:sz w:val="24"/>
          <w:szCs w:val="24"/>
          <w:lang w:eastAsia="ru-RU"/>
        </w:rPr>
        <w:t>сроительных</w:t>
      </w:r>
      <w:proofErr w:type="spellEnd"/>
      <w:r w:rsidRPr="00BC76E1">
        <w:rPr>
          <w:rFonts w:ascii="Times New Roman" w:eastAsia="Times New Roman" w:hAnsi="Times New Roman" w:cs="Times New Roman"/>
          <w:color w:val="666666"/>
          <w:sz w:val="24"/>
          <w:szCs w:val="24"/>
          <w:lang w:eastAsia="ru-RU"/>
        </w:rPr>
        <w:t xml:space="preserve"> нормах и правилах звездочкой.</w:t>
      </w:r>
    </w:p>
    <w:p w:rsidR="00BC76E1" w:rsidRPr="00BC76E1" w:rsidRDefault="00BC76E1" w:rsidP="00BC76E1">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Взамен ВСН 43-85**.</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СОДЕРЖАНИЕ</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6" w:anchor="1" w:history="1">
        <w:r w:rsidRPr="00BC76E1">
          <w:rPr>
            <w:rFonts w:ascii="Times New Roman" w:eastAsia="Times New Roman" w:hAnsi="Times New Roman" w:cs="Times New Roman"/>
            <w:color w:val="551A8B"/>
            <w:sz w:val="24"/>
            <w:szCs w:val="24"/>
            <w:u w:val="single"/>
            <w:lang w:eastAsia="ru-RU"/>
          </w:rPr>
          <w:t>1. Область применения</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7" w:anchor="2" w:history="1">
        <w:r w:rsidRPr="00BC76E1">
          <w:rPr>
            <w:rFonts w:ascii="Times New Roman" w:eastAsia="Times New Roman" w:hAnsi="Times New Roman" w:cs="Times New Roman"/>
            <w:color w:val="551A8B"/>
            <w:sz w:val="24"/>
            <w:szCs w:val="24"/>
            <w:u w:val="single"/>
            <w:lang w:eastAsia="ru-RU"/>
          </w:rPr>
          <w:t>2. Нормативные ссылки</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8" w:anchor="3" w:history="1">
        <w:r w:rsidRPr="00BC76E1">
          <w:rPr>
            <w:rFonts w:ascii="Times New Roman" w:eastAsia="Times New Roman" w:hAnsi="Times New Roman" w:cs="Times New Roman"/>
            <w:color w:val="551A8B"/>
            <w:sz w:val="24"/>
            <w:szCs w:val="24"/>
            <w:u w:val="single"/>
            <w:lang w:eastAsia="ru-RU"/>
          </w:rPr>
          <w:t>3. Термины и определения</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9" w:anchor="4" w:history="1">
        <w:r w:rsidRPr="00BC76E1">
          <w:rPr>
            <w:rFonts w:ascii="Times New Roman" w:eastAsia="Times New Roman" w:hAnsi="Times New Roman" w:cs="Times New Roman"/>
            <w:color w:val="551A8B"/>
            <w:sz w:val="24"/>
            <w:szCs w:val="24"/>
            <w:u w:val="single"/>
            <w:lang w:eastAsia="ru-RU"/>
          </w:rPr>
          <w:t>4. Общие положения</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10" w:anchor="5" w:history="1">
        <w:r w:rsidRPr="00BC76E1">
          <w:rPr>
            <w:rFonts w:ascii="Times New Roman" w:eastAsia="Times New Roman" w:hAnsi="Times New Roman" w:cs="Times New Roman"/>
            <w:color w:val="551A8B"/>
            <w:sz w:val="24"/>
            <w:szCs w:val="24"/>
            <w:u w:val="single"/>
            <w:lang w:eastAsia="ru-RU"/>
          </w:rPr>
          <w:t>5. Планировка и застройка территории садоводческого (дачного) объединения</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11" w:anchor="6" w:history="1">
        <w:r w:rsidRPr="00BC76E1">
          <w:rPr>
            <w:rFonts w:ascii="Times New Roman" w:eastAsia="Times New Roman" w:hAnsi="Times New Roman" w:cs="Times New Roman"/>
            <w:color w:val="551A8B"/>
            <w:sz w:val="24"/>
            <w:szCs w:val="24"/>
            <w:u w:val="single"/>
            <w:lang w:eastAsia="ru-RU"/>
          </w:rPr>
          <w:t>6. Планировка и застройка садовых участков</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12" w:anchor="7" w:history="1">
        <w:r w:rsidRPr="00BC76E1">
          <w:rPr>
            <w:rFonts w:ascii="Times New Roman" w:eastAsia="Times New Roman" w:hAnsi="Times New Roman" w:cs="Times New Roman"/>
            <w:color w:val="551A8B"/>
            <w:sz w:val="24"/>
            <w:szCs w:val="24"/>
            <w:u w:val="single"/>
            <w:lang w:eastAsia="ru-RU"/>
          </w:rPr>
          <w:t>7. Объемно-планировочные и конструктивные решения зданий и сооружений</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13" w:anchor="8" w:history="1">
        <w:r w:rsidRPr="00BC76E1">
          <w:rPr>
            <w:rFonts w:ascii="Times New Roman" w:eastAsia="Times New Roman" w:hAnsi="Times New Roman" w:cs="Times New Roman"/>
            <w:color w:val="551A8B"/>
            <w:sz w:val="24"/>
            <w:szCs w:val="24"/>
            <w:u w:val="single"/>
            <w:lang w:eastAsia="ru-RU"/>
          </w:rPr>
          <w:t>8. Инженерное обустройство</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hyperlink r:id="rId14" w:anchor="9" w:history="1">
        <w:r w:rsidRPr="00BC76E1">
          <w:rPr>
            <w:rFonts w:ascii="Times New Roman" w:eastAsia="Times New Roman" w:hAnsi="Times New Roman" w:cs="Times New Roman"/>
            <w:color w:val="551A8B"/>
            <w:sz w:val="24"/>
            <w:szCs w:val="24"/>
            <w:u w:val="single"/>
            <w:lang w:eastAsia="ru-RU"/>
          </w:rPr>
          <w:t>Приложение</w:t>
        </w:r>
        <w:proofErr w:type="gramStart"/>
        <w:r w:rsidRPr="00BC76E1">
          <w:rPr>
            <w:rFonts w:ascii="Times New Roman" w:eastAsia="Times New Roman" w:hAnsi="Times New Roman" w:cs="Times New Roman"/>
            <w:color w:val="551A8B"/>
            <w:sz w:val="24"/>
            <w:szCs w:val="24"/>
            <w:u w:val="single"/>
            <w:lang w:eastAsia="ru-RU"/>
          </w:rPr>
          <w:t xml:space="preserve"> А</w:t>
        </w:r>
        <w:proofErr w:type="gramEnd"/>
        <w:r w:rsidRPr="00BC76E1">
          <w:rPr>
            <w:rFonts w:ascii="Times New Roman" w:eastAsia="Times New Roman" w:hAnsi="Times New Roman" w:cs="Times New Roman"/>
            <w:color w:val="551A8B"/>
            <w:sz w:val="24"/>
            <w:szCs w:val="24"/>
            <w:u w:val="single"/>
            <w:lang w:eastAsia="ru-RU"/>
          </w:rPr>
          <w:t>*(обязательное). Термины и определения</w:t>
        </w:r>
      </w:hyperlink>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СНиП 30-02-97</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Строительные нормы и правила Российской Федерации</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pict>
          <v:rect id="_x0000_i1025" style="width:0;height:1.5pt" o:hralign="center" o:hrstd="t" o:hr="t" fillcolor="#a0a0a0" stroked="f"/>
        </w:pic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Планировка и застройка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территорий садоводческих (дачных)</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b/>
          <w:bCs/>
          <w:color w:val="666666"/>
          <w:sz w:val="24"/>
          <w:szCs w:val="24"/>
          <w:lang w:eastAsia="ru-RU"/>
        </w:rPr>
      </w:pPr>
      <w:r w:rsidRPr="00BC76E1">
        <w:rPr>
          <w:rFonts w:ascii="Times New Roman" w:eastAsia="Times New Roman" w:hAnsi="Times New Roman" w:cs="Times New Roman"/>
          <w:b/>
          <w:bCs/>
          <w:color w:val="666666"/>
          <w:sz w:val="24"/>
          <w:szCs w:val="24"/>
          <w:lang w:eastAsia="ru-RU"/>
        </w:rPr>
        <w:t>объединений граждан, здания и сооружения</w:t>
      </w:r>
    </w:p>
    <w:p w:rsidR="00BC76E1" w:rsidRPr="00BC76E1" w:rsidRDefault="00BC76E1" w:rsidP="00BC76E1">
      <w:pPr>
        <w:shd w:val="clear" w:color="auto" w:fill="FFFFFF"/>
        <w:spacing w:after="0" w:line="240" w:lineRule="auto"/>
        <w:jc w:val="both"/>
        <w:rPr>
          <w:rFonts w:ascii="Times New Roman" w:eastAsia="Times New Roman" w:hAnsi="Times New Roman" w:cs="Times New Roman"/>
          <w:b/>
          <w:bCs/>
          <w:sz w:val="24"/>
          <w:szCs w:val="24"/>
          <w:lang w:eastAsia="ru-RU"/>
        </w:rPr>
      </w:pP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b/>
          <w:bCs/>
          <w:color w:val="666666"/>
          <w:sz w:val="24"/>
          <w:szCs w:val="24"/>
          <w:lang w:eastAsia="ru-RU"/>
        </w:rPr>
        <w:t>PLANING AND OCCUPATION</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b/>
          <w:bCs/>
          <w:color w:val="666666"/>
          <w:sz w:val="24"/>
          <w:szCs w:val="24"/>
          <w:lang w:val="en-US" w:eastAsia="ru-RU"/>
        </w:rPr>
      </w:pPr>
      <w:r w:rsidRPr="00BC76E1">
        <w:rPr>
          <w:rFonts w:ascii="Times New Roman" w:eastAsia="Times New Roman" w:hAnsi="Times New Roman" w:cs="Times New Roman"/>
          <w:b/>
          <w:bCs/>
          <w:color w:val="666666"/>
          <w:sz w:val="24"/>
          <w:szCs w:val="24"/>
          <w:lang w:val="en-US" w:eastAsia="ru-RU"/>
        </w:rPr>
        <w:t>OF TERRITORIES OF GARDENING</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b/>
          <w:bCs/>
          <w:color w:val="666666"/>
          <w:sz w:val="24"/>
          <w:szCs w:val="24"/>
          <w:lang w:val="en-US" w:eastAsia="ru-RU"/>
        </w:rPr>
      </w:pPr>
      <w:r w:rsidRPr="00BC76E1">
        <w:rPr>
          <w:rFonts w:ascii="Times New Roman" w:eastAsia="Times New Roman" w:hAnsi="Times New Roman" w:cs="Times New Roman"/>
          <w:b/>
          <w:bCs/>
          <w:color w:val="666666"/>
          <w:sz w:val="24"/>
          <w:szCs w:val="24"/>
          <w:lang w:val="en-US" w:eastAsia="ru-RU"/>
        </w:rPr>
        <w:t>UNIONS OF CITIZENS, BUILDINGS AND ERECTIONS</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pict>
          <v:rect id="_x0000_i1026" style="width:0;height:1.5pt" o:hralign="center" o:hrstd="t" o:hr="t" fillcolor="#a0a0a0" stroked="f"/>
        </w:pic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i/>
          <w:iCs/>
          <w:color w:val="666666"/>
          <w:sz w:val="24"/>
          <w:szCs w:val="24"/>
          <w:lang w:eastAsia="ru-RU"/>
        </w:rPr>
        <w:t>Дата введения 2001-01-04</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1" w:name="1"/>
      <w:bookmarkEnd w:id="1"/>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1. ОБЛАСТЬ ПРИМЕНЕНИЯ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1.1.* Настоящие нормы и правила распространяются на проектирование застройки территорий садоводческих (дачных) объединений граждан (далее - садоводческое (дачное) объединение), зданий и сооружений, а также служат основой разработки территориальных строительных норм (ТСН) субъектов Российской Федерации.</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2" w:name="2"/>
      <w:bookmarkEnd w:id="2"/>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2. НОРМАТИВНЫЕ ССЫЛКИ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2.1.* Настоящие нормы и правила составлены с учетом требований следующих нормативных документов:</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 садоводческих, огороднических и дачных некоммерческих объединениях граждан. Федеральный закон № 66-ФЗ от 15.04.98 г.</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Градостроительный кодекс Российской Федерации № 73-ФЗ от 07.05.98 г.</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СП 11-106-97. Разработка, согласование, утверждение и состав проектно-планировочной документации на застройку территорий садоводческих (дачных) объединений граждан.</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2.04.01-85*. Внутренний водопровод и канализация зданий.</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2.04.02-84*. Водоснабжение. Наружные сети и сооружения.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2.04.03-85. Канализация. Наружные сети и сооружения.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2.04.05-91*. Отопление, вентиляция и кондиционирование.</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2.04.08-87*. Газоснабжение.</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2.05.13-90. Нефтепродуктопроводы, прокладываемые на территории городов и других населенных пунктов.</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2.07.01-89*. Градостроительство. Планировка и застройка городских и сельских поселений.</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2.08.01-89*. Жилые здания.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II-3-79*. Строительная теплотехника.</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3.05.04-85*. Наружные сети и сооружения водоснабжения и канализации.</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СНиП 21-01-97. Пожарная безопасность зданий и сооружений.</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ВСН 59-88. Электрооборудование жилых и общественных зданий. Нормы проектирования.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НПБ 106-95. Индивидуальные жилые дома. Противопожарные требования.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ПУЭ. Правила устройства электроустановок. - 6-е изд., 1998 г., 7-е изд., главы 6, 7.1, 2000 г.</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РД 34.21.122-87. Руководящий документ. Инструкция по устройству </w:t>
      </w:r>
      <w:proofErr w:type="spellStart"/>
      <w:r w:rsidRPr="00BC76E1">
        <w:rPr>
          <w:rFonts w:ascii="Times New Roman" w:eastAsia="Times New Roman" w:hAnsi="Times New Roman" w:cs="Times New Roman"/>
          <w:color w:val="666666"/>
          <w:sz w:val="24"/>
          <w:szCs w:val="24"/>
          <w:lang w:eastAsia="ru-RU"/>
        </w:rPr>
        <w:t>молниезащиты</w:t>
      </w:r>
      <w:proofErr w:type="spellEnd"/>
      <w:r w:rsidRPr="00BC76E1">
        <w:rPr>
          <w:rFonts w:ascii="Times New Roman" w:eastAsia="Times New Roman" w:hAnsi="Times New Roman" w:cs="Times New Roman"/>
          <w:color w:val="666666"/>
          <w:sz w:val="24"/>
          <w:szCs w:val="24"/>
          <w:lang w:eastAsia="ru-RU"/>
        </w:rPr>
        <w:t xml:space="preserve"> зданий и сооружений.</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1.6.574-96. Гигиенические требования к охране атмосферного воздуха населенных мест.</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2.1.4.027-95. Зоны санитарной охраны источников водоснабжения и водопроводов хозяйственно-питьевого назначения.</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2.1.4.544-96. Требования к качеству воды нецентрализованного водоснабжения. Санитарная охрана источников.</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2.1.4.559-96. Питьевая вода. Гигиенические требования к качеству воды централизованных систем питьевого водоснабжения. Контроль качества.</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2.2.1/2.1.1.567-96. Санитарно-защитные зоны и санитарная классификация предприятий, сооружений и иных объектов.</w:t>
      </w:r>
    </w:p>
    <w:p w:rsidR="00BC76E1" w:rsidRPr="00BC76E1" w:rsidRDefault="00BC76E1" w:rsidP="00BC76E1">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СанПиН № 4630-88. Санитарные правила и нормы охраны поверхностных вод от загрязнения.</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3" w:name="3"/>
      <w:bookmarkEnd w:id="3"/>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3. ТЕРМИНЫ И ОПРЕДЕЛЕНИЯ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3.1. В настоящих нормах и правилах применены термины в соответствии с </w:t>
      </w:r>
      <w:hyperlink r:id="rId15" w:anchor="9" w:tooltip="Приложение А*(обязательное). Термины и определения" w:history="1">
        <w:r w:rsidRPr="00BC76E1">
          <w:rPr>
            <w:rFonts w:ascii="Times New Roman" w:eastAsia="Times New Roman" w:hAnsi="Times New Roman" w:cs="Times New Roman"/>
            <w:color w:val="551A8B"/>
            <w:sz w:val="24"/>
            <w:szCs w:val="24"/>
            <w:u w:val="single"/>
            <w:lang w:eastAsia="ru-RU"/>
          </w:rPr>
          <w:t>приложением</w:t>
        </w:r>
        <w:proofErr w:type="gramStart"/>
        <w:r w:rsidRPr="00BC76E1">
          <w:rPr>
            <w:rFonts w:ascii="Times New Roman" w:eastAsia="Times New Roman" w:hAnsi="Times New Roman" w:cs="Times New Roman"/>
            <w:color w:val="551A8B"/>
            <w:sz w:val="24"/>
            <w:szCs w:val="24"/>
            <w:u w:val="single"/>
            <w:lang w:eastAsia="ru-RU"/>
          </w:rPr>
          <w:t xml:space="preserve"> А</w:t>
        </w:r>
        <w:proofErr w:type="gramEnd"/>
        <w:r w:rsidRPr="00BC76E1">
          <w:rPr>
            <w:rFonts w:ascii="Times New Roman" w:eastAsia="Times New Roman" w:hAnsi="Times New Roman" w:cs="Times New Roman"/>
            <w:color w:val="551A8B"/>
            <w:sz w:val="24"/>
            <w:szCs w:val="24"/>
            <w:u w:val="single"/>
            <w:lang w:eastAsia="ru-RU"/>
          </w:rPr>
          <w:t>*</w:t>
        </w:r>
      </w:hyperlink>
      <w:r w:rsidRPr="00BC76E1">
        <w:rPr>
          <w:rFonts w:ascii="Times New Roman" w:eastAsia="Times New Roman" w:hAnsi="Times New Roman" w:cs="Times New Roman"/>
          <w:color w:val="666666"/>
          <w:sz w:val="24"/>
          <w:szCs w:val="24"/>
          <w:lang w:eastAsia="ru-RU"/>
        </w:rPr>
        <w:t>.</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4" w:name="4"/>
      <w:bookmarkEnd w:id="4"/>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4. ОБЩИЕ ПОЛОЖЕНИЯ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4.1.* </w:t>
      </w:r>
      <w:proofErr w:type="gramStart"/>
      <w:r w:rsidRPr="00BC76E1">
        <w:rPr>
          <w:rFonts w:ascii="Times New Roman" w:eastAsia="Times New Roman" w:hAnsi="Times New Roman" w:cs="Times New Roman"/>
          <w:color w:val="666666"/>
          <w:sz w:val="24"/>
          <w:szCs w:val="24"/>
          <w:lang w:eastAsia="ru-RU"/>
        </w:rPr>
        <w:t>Организация территории садоводческого (дачного) объединения осуществляется в соответствии с утвержденным администрацией местного самоуправления проектом планировки территории садоводческого (дачного) объединения, являющимся юридическим документом, обязательным для исполнения всеми участниками освоения и застройки территории садоводческого (дачного) объединения.</w:t>
      </w:r>
      <w:proofErr w:type="gramEnd"/>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Все изменения и отклонения от проекта должны быть утверждены администрацией местного самоуправления.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Проект может разрабатываться как для одной, так и для группы (массива) рядом расположенных территорий садоводческих (дачных) объединений.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группы (массива) территорий садоводческих (дачных) объединений, занимающих площадь более 50 га, разрабатывается концепция генерального плана, предшествующая разработке проектов планировки и застройки территорий садоводческих (дачных) объединений и содержащая основные положения по развитию:</w:t>
      </w:r>
    </w:p>
    <w:p w:rsidR="00BC76E1" w:rsidRPr="00BC76E1" w:rsidRDefault="00BC76E1" w:rsidP="00BC76E1">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внешних связей с системой поселений;</w:t>
      </w:r>
    </w:p>
    <w:p w:rsidR="00BC76E1" w:rsidRPr="00BC76E1" w:rsidRDefault="00BC76E1" w:rsidP="00BC76E1">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транспортных коммуникаций;</w:t>
      </w:r>
    </w:p>
    <w:p w:rsidR="00BC76E1" w:rsidRPr="00BC76E1" w:rsidRDefault="00BC76E1" w:rsidP="00BC76E1">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социальной и инженерной инфраструктуры.</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Перечень основных документов, необходимых для разработки, согласования и утверждения проектной документации по планировке и застройке территорий садоводческих (дачных) объединений, приведен в СП 11-106*.</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4.2.* При установлении границ территории садоводческого (дачного) объединения должны соблюдаться требования по охране окружающей среды;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4.3.* Размещение территорий садоводческих (дачных) объединений запрещается в санитарно-защитных зонах промышленных предприятий.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4.4.*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4.5.* Территория садоводческого (дачного) объединения должна отстоять от крайней нити нефтепродуктопровода на расстоянии, не </w:t>
      </w:r>
      <w:proofErr w:type="gramStart"/>
      <w:r w:rsidRPr="00BC76E1">
        <w:rPr>
          <w:rFonts w:ascii="Times New Roman" w:eastAsia="Times New Roman" w:hAnsi="Times New Roman" w:cs="Times New Roman"/>
          <w:color w:val="666666"/>
          <w:sz w:val="24"/>
          <w:szCs w:val="24"/>
          <w:lang w:eastAsia="ru-RU"/>
        </w:rPr>
        <w:t>менее указанного</w:t>
      </w:r>
      <w:proofErr w:type="gramEnd"/>
      <w:r w:rsidRPr="00BC76E1">
        <w:rPr>
          <w:rFonts w:ascii="Times New Roman" w:eastAsia="Times New Roman" w:hAnsi="Times New Roman" w:cs="Times New Roman"/>
          <w:color w:val="666666"/>
          <w:sz w:val="24"/>
          <w:szCs w:val="24"/>
          <w:lang w:eastAsia="ru-RU"/>
        </w:rPr>
        <w:t xml:space="preserve"> в СНиП 2.05.13.</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4.6.* Запрещается размещение территорий садоводческих (дачных) объединений на землях, расположенных под линиями высоковольтных передач 35 </w:t>
      </w:r>
      <w:proofErr w:type="spellStart"/>
      <w:r w:rsidRPr="00BC76E1">
        <w:rPr>
          <w:rFonts w:ascii="Times New Roman" w:eastAsia="Times New Roman" w:hAnsi="Times New Roman" w:cs="Times New Roman"/>
          <w:color w:val="666666"/>
          <w:sz w:val="24"/>
          <w:szCs w:val="24"/>
          <w:lang w:eastAsia="ru-RU"/>
        </w:rPr>
        <w:t>кВА</w:t>
      </w:r>
      <w:proofErr w:type="spellEnd"/>
      <w:r w:rsidRPr="00BC76E1">
        <w:rPr>
          <w:rFonts w:ascii="Times New Roman" w:eastAsia="Times New Roman" w:hAnsi="Times New Roman" w:cs="Times New Roman"/>
          <w:color w:val="666666"/>
          <w:sz w:val="24"/>
          <w:szCs w:val="24"/>
          <w:lang w:eastAsia="ru-RU"/>
        </w:rPr>
        <w:t xml:space="preserve"> и выше, а также с пересечением этих земель магистральными газо- и нефтепроводами. Расстояние по горизонтали от крайних проводов высоковольтных линий (при наибольшем их отклонении) до границы территории садоводческого (дачного) объединения принимается в соответствии с Правилами устройства установок (ПУЭ).</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4.7.* Расстояние от застройки до лесных массивов на территории садоводческих (дачных) объединений должно быть не менее 15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4.8.* При пересечении территории садоводческого (дачного) объединения инженерными коммуникациями надлежит предусматривать санитарно-защитные зоны в соответствии с СанПиН 2.2.1/2.1.1.567.</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4.9.* Территории садоводческих (дачных) объединений в зависимости от числа земельных участков, расположенных на них, подразделяются </w:t>
      </w:r>
      <w:proofErr w:type="gramStart"/>
      <w:r w:rsidRPr="00BC76E1">
        <w:rPr>
          <w:rFonts w:ascii="Times New Roman" w:eastAsia="Times New Roman" w:hAnsi="Times New Roman" w:cs="Times New Roman"/>
          <w:color w:val="666666"/>
          <w:sz w:val="24"/>
          <w:szCs w:val="24"/>
          <w:lang w:eastAsia="ru-RU"/>
        </w:rPr>
        <w:t>на</w:t>
      </w:r>
      <w:proofErr w:type="gram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малые - от 15 до 100;</w:t>
      </w:r>
    </w:p>
    <w:p w:rsidR="00BC76E1" w:rsidRPr="00BC76E1" w:rsidRDefault="00BC76E1" w:rsidP="00BC76E1">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средние - от 101 до 300;</w:t>
      </w:r>
    </w:p>
    <w:p w:rsidR="00BC76E1" w:rsidRPr="00BC76E1" w:rsidRDefault="00BC76E1" w:rsidP="00BC76E1">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proofErr w:type="gramStart"/>
      <w:r w:rsidRPr="00BC76E1">
        <w:rPr>
          <w:rFonts w:ascii="Times New Roman" w:eastAsia="Times New Roman" w:hAnsi="Times New Roman" w:cs="Times New Roman"/>
          <w:color w:val="666666"/>
          <w:sz w:val="24"/>
          <w:szCs w:val="24"/>
          <w:lang w:eastAsia="ru-RU"/>
        </w:rPr>
        <w:t>крупные</w:t>
      </w:r>
      <w:proofErr w:type="gramEnd"/>
      <w:r w:rsidRPr="00BC76E1">
        <w:rPr>
          <w:rFonts w:ascii="Times New Roman" w:eastAsia="Times New Roman" w:hAnsi="Times New Roman" w:cs="Times New Roman"/>
          <w:color w:val="666666"/>
          <w:sz w:val="24"/>
          <w:szCs w:val="24"/>
          <w:lang w:eastAsia="ru-RU"/>
        </w:rPr>
        <w:t xml:space="preserve"> - 301 и более садовых участков.</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5" w:name="5"/>
      <w:bookmarkEnd w:id="5"/>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5. ПЛАНИРОВКА И ЗАСТРОЙКА ТЕРРИТОРИИ САДОВОДЧЕСКОГО (ДАЧНОГО) ОБЪЕДИНЕНИЯ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5.1.* По границе территории садоводческого (дачного) объединения, как правило, предусматривается ограждение. Допускается не предусматривать ограждение при наличии естественных границ (река, бровка оврага и др.).</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Ограждение территории садоводческого (дачного) объединения не следует заменять рвами, канавами, земляными валами.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5.2.* Территория садоводческого (дачного) объединения должна быть соединена подъездной дорогой с автомобильной дорогой общего пользования.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5.3.* На территорию садоводческого (дачного) объединения с числом садовых участков до 50 следует предусматривать один въезд, более 50 - не менее двух въездов. Ширина ворот должна быть не менее 4,5 м, калитки - не менее 1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5.4.* Земельный участок, предоставленный садоводческому (дачному) объединению, состоит из земель общего пользования и земель индивидуальных участков.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w:t>
      </w:r>
      <w:proofErr w:type="gramStart"/>
      <w:r w:rsidRPr="00BC76E1">
        <w:rPr>
          <w:rFonts w:ascii="Times New Roman" w:eastAsia="Times New Roman" w:hAnsi="Times New Roman" w:cs="Times New Roman"/>
          <w:color w:val="666666"/>
          <w:sz w:val="24"/>
          <w:szCs w:val="24"/>
          <w:lang w:eastAsia="ru-RU"/>
        </w:rPr>
        <w:t>.М</w:t>
      </w:r>
      <w:proofErr w:type="gramEnd"/>
      <w:r w:rsidRPr="00BC76E1">
        <w:rPr>
          <w:rFonts w:ascii="Times New Roman" w:eastAsia="Times New Roman" w:hAnsi="Times New Roman" w:cs="Times New Roman"/>
          <w:color w:val="666666"/>
          <w:sz w:val="24"/>
          <w:szCs w:val="24"/>
          <w:lang w:eastAsia="ru-RU"/>
        </w:rPr>
        <w:t>инимально необходимый состав зданий, сооружений, площадок общего пользования приведен в </w:t>
      </w:r>
      <w:hyperlink r:id="rId16" w:anchor="10" w:tooltip="Таблица 1* - Минимально необходимый состав зданий, сооружений, площадок общего пользования" w:history="1">
        <w:r w:rsidRPr="00BC76E1">
          <w:rPr>
            <w:rFonts w:ascii="Times New Roman" w:eastAsia="Times New Roman" w:hAnsi="Times New Roman" w:cs="Times New Roman"/>
            <w:color w:val="551A8B"/>
            <w:sz w:val="24"/>
            <w:szCs w:val="24"/>
            <w:u w:val="single"/>
            <w:lang w:eastAsia="ru-RU"/>
          </w:rPr>
          <w:t>таблице 1*</w:t>
        </w:r>
      </w:hyperlink>
      <w:r w:rsidRPr="00BC76E1">
        <w:rPr>
          <w:rFonts w:ascii="Times New Roman" w:eastAsia="Times New Roman" w:hAnsi="Times New Roman" w:cs="Times New Roman"/>
          <w:color w:val="666666"/>
          <w:sz w:val="24"/>
          <w:szCs w:val="24"/>
          <w:lang w:eastAsia="ru-RU"/>
        </w:rPr>
        <w:t>, рекомендуемый в СП 11-106*.</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5.5.* При въезде на территорию общего пользования садоводческого (дачного) объединения предусматривается </w:t>
      </w:r>
      <w:proofErr w:type="gramStart"/>
      <w:r w:rsidRPr="00BC76E1">
        <w:rPr>
          <w:rFonts w:ascii="Times New Roman" w:eastAsia="Times New Roman" w:hAnsi="Times New Roman" w:cs="Times New Roman"/>
          <w:color w:val="666666"/>
          <w:sz w:val="24"/>
          <w:szCs w:val="24"/>
          <w:lang w:eastAsia="ru-RU"/>
        </w:rPr>
        <w:t>сторожка</w:t>
      </w:r>
      <w:proofErr w:type="gramEnd"/>
      <w:r w:rsidRPr="00BC76E1">
        <w:rPr>
          <w:rFonts w:ascii="Times New Roman" w:eastAsia="Times New Roman" w:hAnsi="Times New Roman" w:cs="Times New Roman"/>
          <w:color w:val="666666"/>
          <w:sz w:val="24"/>
          <w:szCs w:val="24"/>
          <w:lang w:eastAsia="ru-RU"/>
        </w:rPr>
        <w:t>, состав и площади помещений которой устанавливаются уставом садоводческого (дачного) объединения.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5.6.*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5.7.* На территории садоводческого (дачного) объединения ширина улиц и проездов в красных линиях должна быть, </w:t>
      </w:r>
      <w:proofErr w:type="gramStart"/>
      <w:r w:rsidRPr="00BC76E1">
        <w:rPr>
          <w:rFonts w:ascii="Times New Roman" w:eastAsia="Times New Roman" w:hAnsi="Times New Roman" w:cs="Times New Roman"/>
          <w:color w:val="666666"/>
          <w:sz w:val="24"/>
          <w:szCs w:val="24"/>
          <w:lang w:eastAsia="ru-RU"/>
        </w:rPr>
        <w:t>м</w:t>
      </w:r>
      <w:proofErr w:type="gram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улиц - не менее 15;</w:t>
      </w:r>
    </w:p>
    <w:p w:rsidR="00BC76E1" w:rsidRPr="00BC76E1" w:rsidRDefault="00BC76E1" w:rsidP="00BC76E1">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проездов - не менее 9.</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Минимальный радиус закругления края проезжей части - 6,0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Ширина проезжей части улиц и проездов принимается для улиц - не менее 7,0 м, для проездов - не менее 3,5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bookmarkStart w:id="6" w:name="10"/>
      <w:bookmarkEnd w:id="6"/>
      <w:r w:rsidRPr="00BC76E1">
        <w:rPr>
          <w:rFonts w:ascii="Times New Roman" w:eastAsia="Times New Roman" w:hAnsi="Times New Roman" w:cs="Times New Roman"/>
          <w:b/>
          <w:bCs/>
          <w:color w:val="666666"/>
          <w:sz w:val="24"/>
          <w:szCs w:val="24"/>
          <w:lang w:eastAsia="ru-RU"/>
        </w:rPr>
        <w:lastRenderedPageBreak/>
        <w:t>Таблица 1* - Минимально необходимый состав зданий, сооружений, площадок общего пользования</w:t>
      </w:r>
    </w:p>
    <w:tbl>
      <w:tblPr>
        <w:tblW w:w="5000" w:type="pct"/>
        <w:jc w:val="center"/>
        <w:tblCellSpacing w:w="6"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3720"/>
        <w:gridCol w:w="1629"/>
        <w:gridCol w:w="1927"/>
        <w:gridCol w:w="2157"/>
      </w:tblGrid>
      <w:tr w:rsidR="00BC76E1" w:rsidRPr="00BC76E1" w:rsidTr="00BC76E1">
        <w:trPr>
          <w:tblCellSpacing w:w="6"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Объекты</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 xml:space="preserve">Удельные размеры земельных участков, </w:t>
            </w:r>
            <w:proofErr w:type="gramStart"/>
            <w:r w:rsidRPr="00BC76E1">
              <w:rPr>
                <w:rFonts w:ascii="Times New Roman" w:eastAsia="Times New Roman" w:hAnsi="Times New Roman" w:cs="Times New Roman"/>
                <w:sz w:val="24"/>
                <w:szCs w:val="24"/>
                <w:lang w:eastAsia="ru-RU"/>
              </w:rPr>
              <w:t>м</w:t>
            </w:r>
            <w:proofErr w:type="gramEnd"/>
            <w:r w:rsidRPr="00BC76E1">
              <w:rPr>
                <w:rFonts w:ascii="Times New Roman" w:eastAsia="Times New Roman" w:hAnsi="Times New Roman" w:cs="Times New Roman"/>
                <w:sz w:val="24"/>
                <w:szCs w:val="24"/>
                <w:lang w:eastAsia="ru-RU"/>
              </w:rPr>
              <w:t>² на 1 садовый участок, на территории садоводческих (дачных) объединений с числом участков</w:t>
            </w:r>
          </w:p>
        </w:tc>
      </w:tr>
      <w:tr w:rsidR="00BC76E1" w:rsidRPr="00BC76E1" w:rsidTr="00BC76E1">
        <w:trPr>
          <w:tblCellSpacing w:w="6"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15 - 100 (малые)</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101 - 300 (средние)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301 и более (крупные)</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proofErr w:type="gramStart"/>
            <w:r w:rsidRPr="00BC76E1">
              <w:rPr>
                <w:rFonts w:ascii="Times New Roman" w:eastAsia="Times New Roman" w:hAnsi="Times New Roman" w:cs="Times New Roman"/>
                <w:sz w:val="24"/>
                <w:szCs w:val="24"/>
                <w:lang w:eastAsia="ru-RU"/>
              </w:rPr>
              <w:t>Сторожка</w:t>
            </w:r>
            <w:proofErr w:type="gramEnd"/>
            <w:r w:rsidRPr="00BC76E1">
              <w:rPr>
                <w:rFonts w:ascii="Times New Roman" w:eastAsia="Times New Roman" w:hAnsi="Times New Roman" w:cs="Times New Roman"/>
                <w:sz w:val="24"/>
                <w:szCs w:val="24"/>
                <w:lang w:eastAsia="ru-RU"/>
              </w:rPr>
              <w:t xml:space="preserve"> с правлением объединения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0,7-0,5</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0,4-0,4</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Магазин смешанной торговли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0,5-0,2</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0,2 и менее</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Здания и сооружения для хранения средств пожаротушения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0,5</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0,4</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0,35</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Площадки для мусоросборников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0,1</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0,1</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0,1</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Площадка для стоянки автомобилей при въезде на территорию садоводческого объединения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0,9</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0,9 - 0,4</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0,4 и менее</w:t>
            </w:r>
          </w:p>
        </w:tc>
      </w:tr>
      <w:tr w:rsidR="00BC76E1" w:rsidRPr="00BC76E1" w:rsidTr="00BC76E1">
        <w:trPr>
          <w:tblCellSpacing w:w="6"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b/>
                <w:bCs/>
                <w:sz w:val="24"/>
                <w:szCs w:val="24"/>
                <w:lang w:eastAsia="ru-RU"/>
              </w:rPr>
              <w:t>Примечание</w:t>
            </w:r>
            <w:r w:rsidRPr="00BC76E1">
              <w:rPr>
                <w:rFonts w:ascii="Times New Roman" w:eastAsia="Times New Roman" w:hAnsi="Times New Roman" w:cs="Times New Roman"/>
                <w:sz w:val="24"/>
                <w:szCs w:val="24"/>
                <w:lang w:eastAsia="ru-RU"/>
              </w:rPr>
              <w:t> - Типы и размеры зданий и сооружений для хранения средств пожаротушения определяются по согласованию с органами Государственной противопожарной службы. Помещение для хранения переносной мотопомпы и противопожарного инвентаря должно иметь площадь не менее 10 м² и несгораемые стены.</w:t>
            </w:r>
          </w:p>
        </w:tc>
      </w:tr>
    </w:tbl>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5.8.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Максимальная протяженность тупикового проезда, согласно требованиям СНиП 2.07.01 и НПБ 106, не должна превышать 150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Тупиковые проезды обеспечиваются разворотными площадками размером не менее 12´12 м. Использование разворотной площадки для стоянки автомобилей не допускается.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5.9.* </w:t>
      </w:r>
      <w:proofErr w:type="gramStart"/>
      <w:r w:rsidRPr="00BC76E1">
        <w:rPr>
          <w:rFonts w:ascii="Times New Roman" w:eastAsia="Times New Roman" w:hAnsi="Times New Roman" w:cs="Times New Roman"/>
          <w:color w:val="666666"/>
          <w:sz w:val="24"/>
          <w:szCs w:val="24"/>
          <w:lang w:eastAsia="ru-RU"/>
        </w:rPr>
        <w:t>Для обеспечения пожаротушения на территории общего пользования садоводческого (дачного) объединения должны предусматриваться противопожарные водоемы или резервуары вместимостью, м3, при числе участков: до 300 - не менее 25, более 300 - не менее 60 (каждый с площадками для установки пожарной техники, с возможностью забора воды насосами и организацией подъезда не менее двух пожарных автомобилей).</w:t>
      </w:r>
      <w:proofErr w:type="gramEnd"/>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Количество водоемов (резервуаров) и их расположение определяются требованиями СНиП 2.04.02.</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Садоводческие (дачные) объединения, включающие до 300 садовых участков, в противопожарных целях должны иметь переносную мотопомпу, при числе участков от 301 до 1000 - прицепную мотопомпу, при числе участков более 1000 - не менее двух прицепных мотопомп.</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хранения мотопомп обязательно строительство специального помещения.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5.10.* Здания и сооружения общего пользования должны отстоять от границ садовых (дачных) участков не менее чем на 4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5.11.* На территории садоводческих (дачных) объединений и за ее пределами запрещается организовывать свалки отходов. Бытовые отходы, как правило, должны утилизироваться на садовых участках. Для </w:t>
      </w:r>
      <w:proofErr w:type="spellStart"/>
      <w:r w:rsidRPr="00BC76E1">
        <w:rPr>
          <w:rFonts w:ascii="Times New Roman" w:eastAsia="Times New Roman" w:hAnsi="Times New Roman" w:cs="Times New Roman"/>
          <w:color w:val="666666"/>
          <w:sz w:val="24"/>
          <w:szCs w:val="24"/>
          <w:lang w:eastAsia="ru-RU"/>
        </w:rPr>
        <w:t>неутилизируемых</w:t>
      </w:r>
      <w:proofErr w:type="spellEnd"/>
      <w:r w:rsidRPr="00BC76E1">
        <w:rPr>
          <w:rFonts w:ascii="Times New Roman" w:eastAsia="Times New Roman" w:hAnsi="Times New Roman" w:cs="Times New Roman"/>
          <w:color w:val="666666"/>
          <w:sz w:val="24"/>
          <w:szCs w:val="24"/>
          <w:lang w:eastAsia="ru-RU"/>
        </w:rPr>
        <w:t xml:space="preserve"> отходов (стекло, металл, полиэтилен и др.) на территории общего пользования должны быть предусмотрены площадки контейнеров для мусора.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Площадки для мусорных контейнеров размещаются на расстоянии не менее 20 и не более 100 м от границ садовых участков.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5.12.* Отвод поверхностных стоков и дренажных вод с территории садоводческих (дачных) объединений в кюветы и канавы осуществляется в соответствии проектом планировки территории садоводческого (дачного) объединения.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5.13.* При организации на территории общего пользования склада минеральных удобрений и химикатов следует учитывать, что хранение их запрещается под открытым небом, а также вблизи открытых водоемов и водозаборных скважин.</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7" w:name="6"/>
      <w:bookmarkEnd w:id="7"/>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6. ПЛАНИРОВКА И ЗАСТРОЙКА САДОВЫХ УЧАСТКОВ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6.1.* Площадь индивидуального садового (дачного) участка принимается не менее 0,06 га.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6.2.* Индивидуальные садовые (дачные) участки, как правило, должны быть огорожены. Ограждения с целью минимального затенения территории соседних участков должны быть сетчатые или решетчатые высотой 1,5 м. Допускается по решению общего собрания членов садоводческого (дачного) объединения устройство глухих ограждений со стороны улиц и проездов.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6.3.* На садовом (дачном) участке следует предусматривать устройство компостной площадки, ямы или ящика, а при отсутствии канализации - и уборной.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6.4.* На садовом (дачном) участке могут возводиться жилое строение (или дом), хозяйственные постройки и сооружения, в том числе - постройки для содержания мелкого скота и птицы, теплицы и другие сооружения с утепленным грунтом, </w:t>
      </w:r>
      <w:proofErr w:type="spellStart"/>
      <w:r w:rsidRPr="00BC76E1">
        <w:rPr>
          <w:rFonts w:ascii="Times New Roman" w:eastAsia="Times New Roman" w:hAnsi="Times New Roman" w:cs="Times New Roman"/>
          <w:color w:val="666666"/>
          <w:sz w:val="24"/>
          <w:szCs w:val="24"/>
          <w:lang w:eastAsia="ru-RU"/>
        </w:rPr>
        <w:t>хозпостройка</w:t>
      </w:r>
      <w:proofErr w:type="spellEnd"/>
      <w:r w:rsidRPr="00BC76E1">
        <w:rPr>
          <w:rFonts w:ascii="Times New Roman" w:eastAsia="Times New Roman" w:hAnsi="Times New Roman" w:cs="Times New Roman"/>
          <w:color w:val="666666"/>
          <w:sz w:val="24"/>
          <w:szCs w:val="24"/>
          <w:lang w:eastAsia="ru-RU"/>
        </w:rPr>
        <w:t xml:space="preserve"> для хранения </w:t>
      </w:r>
      <w:proofErr w:type="spellStart"/>
      <w:r w:rsidRPr="00BC76E1">
        <w:rPr>
          <w:rFonts w:ascii="Times New Roman" w:eastAsia="Times New Roman" w:hAnsi="Times New Roman" w:cs="Times New Roman"/>
          <w:color w:val="666666"/>
          <w:sz w:val="24"/>
          <w:szCs w:val="24"/>
          <w:lang w:eastAsia="ru-RU"/>
        </w:rPr>
        <w:t>инвентаря,</w:t>
      </w:r>
      <w:hyperlink r:id="rId17" w:tgtFrame="_self" w:tooltip="Статья: Летняя кухня" w:history="1">
        <w:r w:rsidRPr="00BC76E1">
          <w:rPr>
            <w:rFonts w:ascii="Times New Roman" w:eastAsia="Times New Roman" w:hAnsi="Times New Roman" w:cs="Times New Roman"/>
            <w:color w:val="551A8B"/>
            <w:sz w:val="24"/>
            <w:szCs w:val="24"/>
            <w:u w:val="single"/>
            <w:lang w:eastAsia="ru-RU"/>
          </w:rPr>
          <w:t>летняя</w:t>
        </w:r>
        <w:proofErr w:type="spellEnd"/>
        <w:r w:rsidRPr="00BC76E1">
          <w:rPr>
            <w:rFonts w:ascii="Times New Roman" w:eastAsia="Times New Roman" w:hAnsi="Times New Roman" w:cs="Times New Roman"/>
            <w:color w:val="551A8B"/>
            <w:sz w:val="24"/>
            <w:szCs w:val="24"/>
            <w:u w:val="single"/>
            <w:lang w:eastAsia="ru-RU"/>
          </w:rPr>
          <w:t xml:space="preserve"> кухня</w:t>
        </w:r>
      </w:hyperlink>
      <w:r w:rsidRPr="00BC76E1">
        <w:rPr>
          <w:rFonts w:ascii="Times New Roman" w:eastAsia="Times New Roman" w:hAnsi="Times New Roman" w:cs="Times New Roman"/>
          <w:color w:val="666666"/>
          <w:sz w:val="24"/>
          <w:szCs w:val="24"/>
          <w:lang w:eastAsia="ru-RU"/>
        </w:rPr>
        <w:t>, баня (сауна), душ, навес или гараж для автомобиля.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 регионах возможно возведение типов хозяйственных построек, определенных местными традициями и условиями обустройства. Строительство указанных объектов должно осуществляться по соответствующим проектам.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6.5.* Противопожарные расстояния между строениями и сооружениями в пределах одного участка не нормируются.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Противопожарные расстояния между жилыми строениями (или домами), расположенными на соседних земельных участках, в зависимости от материала несущих и ограждающих конструкций должны быть не </w:t>
      </w:r>
      <w:proofErr w:type="gramStart"/>
      <w:r w:rsidRPr="00BC76E1">
        <w:rPr>
          <w:rFonts w:ascii="Times New Roman" w:eastAsia="Times New Roman" w:hAnsi="Times New Roman" w:cs="Times New Roman"/>
          <w:color w:val="666666"/>
          <w:sz w:val="24"/>
          <w:szCs w:val="24"/>
          <w:lang w:eastAsia="ru-RU"/>
        </w:rPr>
        <w:t>менее указанных</w:t>
      </w:r>
      <w:proofErr w:type="gramEnd"/>
      <w:r w:rsidRPr="00BC76E1">
        <w:rPr>
          <w:rFonts w:ascii="Times New Roman" w:eastAsia="Times New Roman" w:hAnsi="Times New Roman" w:cs="Times New Roman"/>
          <w:color w:val="666666"/>
          <w:sz w:val="24"/>
          <w:szCs w:val="24"/>
          <w:lang w:eastAsia="ru-RU"/>
        </w:rPr>
        <w:t xml:space="preserve"> в таблице 2*.</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 этом противопожарные расстояния между строениями и сооружениями (или домами) в каждой группе не нормируются, а минимальные расстояния между крайними строениями (или домами) групп принимаются по </w:t>
      </w:r>
      <w:hyperlink r:id="rId18" w:anchor="11" w:tooltip="Таблица 2* - Минимальные противопожарные расстояния между крайними жилыми строениями (или домами) и группами строений (или домов) на участках" w:history="1">
        <w:r w:rsidRPr="00BC76E1">
          <w:rPr>
            <w:rFonts w:ascii="Times New Roman" w:eastAsia="Times New Roman" w:hAnsi="Times New Roman" w:cs="Times New Roman"/>
            <w:color w:val="551A8B"/>
            <w:sz w:val="24"/>
            <w:szCs w:val="24"/>
            <w:u w:val="single"/>
            <w:lang w:eastAsia="ru-RU"/>
          </w:rPr>
          <w:t>таблице 2*</w:t>
        </w:r>
      </w:hyperlink>
      <w:r w:rsidRPr="00BC76E1">
        <w:rPr>
          <w:rFonts w:ascii="Times New Roman" w:eastAsia="Times New Roman" w:hAnsi="Times New Roman" w:cs="Times New Roman"/>
          <w:color w:val="666666"/>
          <w:sz w:val="24"/>
          <w:szCs w:val="24"/>
          <w:lang w:eastAsia="ru-RU"/>
        </w:rPr>
        <w:t>.</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bookmarkStart w:id="8" w:name="11"/>
      <w:bookmarkEnd w:id="8"/>
      <w:r w:rsidRPr="00BC76E1">
        <w:rPr>
          <w:rFonts w:ascii="Times New Roman" w:eastAsia="Times New Roman" w:hAnsi="Times New Roman" w:cs="Times New Roman"/>
          <w:b/>
          <w:bCs/>
          <w:color w:val="666666"/>
          <w:sz w:val="24"/>
          <w:szCs w:val="24"/>
          <w:lang w:eastAsia="ru-RU"/>
        </w:rPr>
        <w:t>Таблица 2* - Минимальные противопожарные расстояния между крайними жилыми строениями (или домами) и группами строений (или домов) на участках</w:t>
      </w:r>
    </w:p>
    <w:tbl>
      <w:tblPr>
        <w:tblW w:w="5000" w:type="pct"/>
        <w:jc w:val="center"/>
        <w:tblCellSpacing w:w="6"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8016"/>
        <w:gridCol w:w="471"/>
        <w:gridCol w:w="470"/>
        <w:gridCol w:w="476"/>
      </w:tblGrid>
      <w:tr w:rsidR="00BC76E1" w:rsidRPr="00BC76E1" w:rsidTr="00BC76E1">
        <w:trPr>
          <w:tblCellSpacing w:w="6"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Материал несущих и ограждающих конструкций строения</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 xml:space="preserve">Расстояния, </w:t>
            </w:r>
            <w:proofErr w:type="gramStart"/>
            <w:r w:rsidRPr="00BC76E1">
              <w:rPr>
                <w:rFonts w:ascii="Times New Roman" w:eastAsia="Times New Roman" w:hAnsi="Times New Roman" w:cs="Times New Roman"/>
                <w:sz w:val="24"/>
                <w:szCs w:val="24"/>
                <w:lang w:eastAsia="ru-RU"/>
              </w:rPr>
              <w:t>м</w:t>
            </w:r>
            <w:proofErr w:type="gramEnd"/>
          </w:p>
        </w:tc>
      </w:tr>
      <w:tr w:rsidR="00BC76E1" w:rsidRPr="00BC76E1" w:rsidTr="00BC76E1">
        <w:trPr>
          <w:tblCellSpacing w:w="6"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А</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Б</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В</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А Камень, бетон, железобетон и другие негорючие материалы</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Б</w:t>
            </w:r>
            <w:proofErr w:type="gramStart"/>
            <w:r w:rsidRPr="00BC76E1">
              <w:rPr>
                <w:rFonts w:ascii="Times New Roman" w:eastAsia="Times New Roman" w:hAnsi="Times New Roman" w:cs="Times New Roman"/>
                <w:sz w:val="24"/>
                <w:szCs w:val="24"/>
                <w:lang w:eastAsia="ru-RU"/>
              </w:rPr>
              <w:t xml:space="preserve"> Т</w:t>
            </w:r>
            <w:proofErr w:type="gramEnd"/>
            <w:r w:rsidRPr="00BC76E1">
              <w:rPr>
                <w:rFonts w:ascii="Times New Roman" w:eastAsia="Times New Roman" w:hAnsi="Times New Roman" w:cs="Times New Roman"/>
                <w:sz w:val="24"/>
                <w:szCs w:val="24"/>
                <w:lang w:eastAsia="ru-RU"/>
              </w:rPr>
              <w:t xml:space="preserve">о же, с деревянными перекрытиями и покрытиями, защищенными негорючими и </w:t>
            </w:r>
            <w:proofErr w:type="spellStart"/>
            <w:r w:rsidRPr="00BC76E1">
              <w:rPr>
                <w:rFonts w:ascii="Times New Roman" w:eastAsia="Times New Roman" w:hAnsi="Times New Roman" w:cs="Times New Roman"/>
                <w:sz w:val="24"/>
                <w:szCs w:val="24"/>
                <w:lang w:eastAsia="ru-RU"/>
              </w:rPr>
              <w:t>трудногорючими</w:t>
            </w:r>
            <w:proofErr w:type="spellEnd"/>
            <w:r w:rsidRPr="00BC76E1">
              <w:rPr>
                <w:rFonts w:ascii="Times New Roman" w:eastAsia="Times New Roman" w:hAnsi="Times New Roman" w:cs="Times New Roman"/>
                <w:sz w:val="24"/>
                <w:szCs w:val="24"/>
                <w:lang w:eastAsia="ru-RU"/>
              </w:rPr>
              <w:t xml:space="preserve"> материалами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w:t>
            </w:r>
          </w:p>
        </w:tc>
      </w:tr>
      <w:tr w:rsidR="00BC76E1" w:rsidRPr="00BC76E1" w:rsidTr="00BC76E1">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proofErr w:type="gramStart"/>
            <w:r w:rsidRPr="00BC76E1">
              <w:rPr>
                <w:rFonts w:ascii="Times New Roman" w:eastAsia="Times New Roman" w:hAnsi="Times New Roman" w:cs="Times New Roman"/>
                <w:sz w:val="24"/>
                <w:szCs w:val="24"/>
                <w:lang w:eastAsia="ru-RU"/>
              </w:rPr>
              <w:t>В</w:t>
            </w:r>
            <w:proofErr w:type="gramEnd"/>
            <w:r w:rsidRPr="00BC76E1">
              <w:rPr>
                <w:rFonts w:ascii="Times New Roman" w:eastAsia="Times New Roman" w:hAnsi="Times New Roman" w:cs="Times New Roman"/>
                <w:sz w:val="24"/>
                <w:szCs w:val="24"/>
                <w:lang w:eastAsia="ru-RU"/>
              </w:rPr>
              <w:t xml:space="preserve"> </w:t>
            </w:r>
            <w:proofErr w:type="gramStart"/>
            <w:r w:rsidRPr="00BC76E1">
              <w:rPr>
                <w:rFonts w:ascii="Times New Roman" w:eastAsia="Times New Roman" w:hAnsi="Times New Roman" w:cs="Times New Roman"/>
                <w:sz w:val="24"/>
                <w:szCs w:val="24"/>
                <w:lang w:eastAsia="ru-RU"/>
              </w:rPr>
              <w:t>Древесина</w:t>
            </w:r>
            <w:proofErr w:type="gramEnd"/>
            <w:r w:rsidRPr="00BC76E1">
              <w:rPr>
                <w:rFonts w:ascii="Times New Roman" w:eastAsia="Times New Roman" w:hAnsi="Times New Roman" w:cs="Times New Roman"/>
                <w:sz w:val="24"/>
                <w:szCs w:val="24"/>
                <w:lang w:eastAsia="ru-RU"/>
              </w:rPr>
              <w:t xml:space="preserve">, каркасные ограждающие конструкции из негорючих, </w:t>
            </w:r>
            <w:proofErr w:type="spellStart"/>
            <w:r w:rsidRPr="00BC76E1">
              <w:rPr>
                <w:rFonts w:ascii="Times New Roman" w:eastAsia="Times New Roman" w:hAnsi="Times New Roman" w:cs="Times New Roman"/>
                <w:sz w:val="24"/>
                <w:szCs w:val="24"/>
                <w:lang w:eastAsia="ru-RU"/>
              </w:rPr>
              <w:t>трудногорючих</w:t>
            </w:r>
            <w:proofErr w:type="spellEnd"/>
            <w:r w:rsidRPr="00BC76E1">
              <w:rPr>
                <w:rFonts w:ascii="Times New Roman" w:eastAsia="Times New Roman" w:hAnsi="Times New Roman" w:cs="Times New Roman"/>
                <w:sz w:val="24"/>
                <w:szCs w:val="24"/>
                <w:lang w:eastAsia="ru-RU"/>
              </w:rPr>
              <w:t xml:space="preserve"> и горючих материалов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BC76E1" w:rsidRPr="00BC76E1" w:rsidRDefault="00BC76E1" w:rsidP="00BC76E1">
            <w:pPr>
              <w:spacing w:after="0" w:line="240" w:lineRule="auto"/>
              <w:jc w:val="both"/>
              <w:rPr>
                <w:rFonts w:ascii="Times New Roman" w:eastAsia="Times New Roman" w:hAnsi="Times New Roman" w:cs="Times New Roman"/>
                <w:sz w:val="24"/>
                <w:szCs w:val="24"/>
                <w:lang w:eastAsia="ru-RU"/>
              </w:rPr>
            </w:pPr>
            <w:r w:rsidRPr="00BC76E1">
              <w:rPr>
                <w:rFonts w:ascii="Times New Roman" w:eastAsia="Times New Roman" w:hAnsi="Times New Roman" w:cs="Times New Roman"/>
                <w:sz w:val="24"/>
                <w:szCs w:val="24"/>
                <w:lang w:eastAsia="ru-RU"/>
              </w:rPr>
              <w:t>15</w:t>
            </w:r>
          </w:p>
        </w:tc>
      </w:tr>
    </w:tbl>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6.6.* </w:t>
      </w:r>
      <w:proofErr w:type="gramStart"/>
      <w:r w:rsidRPr="00BC76E1">
        <w:rPr>
          <w:rFonts w:ascii="Times New Roman" w:eastAsia="Times New Roman" w:hAnsi="Times New Roman" w:cs="Times New Roman"/>
          <w:color w:val="666666"/>
          <w:sz w:val="24"/>
          <w:szCs w:val="24"/>
          <w:lang w:eastAsia="ru-RU"/>
        </w:rPr>
        <w:t>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указанные в таблице 2*. Расстояние от хозяйственных построек до красных линий улиц и проездов должно быть не менее 5 м.</w:t>
      </w:r>
      <w:proofErr w:type="gramEnd"/>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6.7.* Минимальные расстояния до границы соседнего участка по санитарно-бытовым условиям должны быть:</w:t>
      </w:r>
    </w:p>
    <w:p w:rsidR="00BC76E1" w:rsidRPr="00BC76E1" w:rsidRDefault="00BC76E1" w:rsidP="00BC76E1">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жилого строения (или дома) - 3;</w:t>
      </w:r>
    </w:p>
    <w:p w:rsidR="00BC76E1" w:rsidRPr="00BC76E1" w:rsidRDefault="00BC76E1" w:rsidP="00BC76E1">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постройки для содержания мелкого скота и птицы - 4;</w:t>
      </w:r>
    </w:p>
    <w:p w:rsidR="00BC76E1" w:rsidRPr="00BC76E1" w:rsidRDefault="00BC76E1" w:rsidP="00BC76E1">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других построек - 1;</w:t>
      </w:r>
    </w:p>
    <w:p w:rsidR="00BC76E1" w:rsidRPr="00BC76E1" w:rsidRDefault="00BC76E1" w:rsidP="00BC76E1">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стволов высокорослых деревьев - 4, среднерослых - 2;</w:t>
      </w:r>
    </w:p>
    <w:p w:rsidR="00BC76E1" w:rsidRPr="00BC76E1" w:rsidRDefault="00BC76E1" w:rsidP="00BC76E1">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кустарника - 1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6.8.* Минимальные расстояния между постройками по санитарно-бытовым условиям должны быть, </w:t>
      </w:r>
      <w:proofErr w:type="gramStart"/>
      <w:r w:rsidRPr="00BC76E1">
        <w:rPr>
          <w:rFonts w:ascii="Times New Roman" w:eastAsia="Times New Roman" w:hAnsi="Times New Roman" w:cs="Times New Roman"/>
          <w:color w:val="666666"/>
          <w:sz w:val="24"/>
          <w:szCs w:val="24"/>
          <w:lang w:eastAsia="ru-RU"/>
        </w:rPr>
        <w:t>м</w:t>
      </w:r>
      <w:proofErr w:type="gram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от жилого строения (или дома) и погреба до уборной и постройки для содержания мелкого скота и птицы - 12;</w:t>
      </w:r>
    </w:p>
    <w:p w:rsidR="00BC76E1" w:rsidRPr="00BC76E1" w:rsidRDefault="00BC76E1" w:rsidP="00BC76E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до душа, бани (сауны) - 8 м;</w:t>
      </w:r>
    </w:p>
    <w:p w:rsidR="00BC76E1" w:rsidRPr="00BC76E1" w:rsidRDefault="00BC76E1" w:rsidP="00BC76E1">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от колодца до уборной и компостного устройства - 8;</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Указанные расстояния должны соблюдаться как между постройками на одном участке, так и между постройками, расположенными на смежных участках.</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6.9.*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 этих случаях расстояние до границы с соседним участком измеряется отдельно от каждого объекта блокировки, например:</w:t>
      </w:r>
    </w:p>
    <w:p w:rsidR="00BC76E1" w:rsidRPr="00BC76E1" w:rsidRDefault="00BC76E1" w:rsidP="00BC76E1">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дом-гараж (от дома не менее 3 м, от гаража не менее 1 м);</w:t>
      </w:r>
    </w:p>
    <w:p w:rsidR="00BC76E1" w:rsidRPr="00BC76E1" w:rsidRDefault="00BC76E1" w:rsidP="00BC76E1">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дом-постройка для скота и птицы (от дома не менее 3 м, от постройки для скота и птицы не менее 4 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6.10. Гаражи для автомобилей могут быть отдельно стоящими, встроенными или пристроенными к садовому дому и хозяйственным постройкам.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6.11.* Члены садоводческих (дачных) объединений, имеющие на своем участке мелкий скот и птицу, должны соблюдать санитарные и ветеринарные правила по их содержанию.</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6.12.* Инсоляция жилых помещений жилых строений (домов) на садовых (дачных) участках должна обеспечивать собственную непрерывную продолжительность на период с 22 марта по 22 сентября - 2,5 ч или суммарную 3-часовую, допускающую одноразовую прерывистость в течение дня.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6.13. При освоении садового (дачного) участка площадью 0,06-0,12 га под строения дорожки и площадки следует отводить не более 25-30% площади.</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9" w:name="7"/>
      <w:bookmarkEnd w:id="9"/>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7. ОБЪЕМНО-ПЛАНИРОВОЧНЫЕ И КОНСТРУКТИВНЫЕ РЕШЕНИЯ ЗДАНИЙ И СООРУЖЕНИЙ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7.1.* Жилые строения (или дома) проектируются (возводятся) с различной объемно-планировочной структурой.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7.2.* Под жилым строением (или домом) и хозяйственными постройками допускается устройство подвала и погреба. Под помещениями для мелкого скота и птицы устройство погреба не допускается.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7.3. Высота жилых помещений принимается от пола до потолка не менее 2,2 м. Высоту хозяйственных помещений, в том числе, расположенных в подвале, следует принимать не менее 2 м, высоту погреба - не менее 1,6 м до низа выступающих конструкций (балок, прогонов).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 проектировании домов для круглогодичного проживания следует учитывать требования СНиП 2.08.01 и СНиП II-3.</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7.4.* Лестницы, ведущие на второй этаж (в том числе, на мансарду), располагаются как внутри, так и снаружи жилых строений (или домов). Параметры указанных лестниц, а </w:t>
      </w:r>
      <w:r w:rsidRPr="00BC76E1">
        <w:rPr>
          <w:rFonts w:ascii="Times New Roman" w:eastAsia="Times New Roman" w:hAnsi="Times New Roman" w:cs="Times New Roman"/>
          <w:color w:val="666666"/>
          <w:sz w:val="24"/>
          <w:szCs w:val="24"/>
          <w:lang w:eastAsia="ru-RU"/>
        </w:rPr>
        <w:lastRenderedPageBreak/>
        <w:t xml:space="preserve">также </w:t>
      </w:r>
      <w:proofErr w:type="gramStart"/>
      <w:r w:rsidRPr="00BC76E1">
        <w:rPr>
          <w:rFonts w:ascii="Times New Roman" w:eastAsia="Times New Roman" w:hAnsi="Times New Roman" w:cs="Times New Roman"/>
          <w:color w:val="666666"/>
          <w:sz w:val="24"/>
          <w:szCs w:val="24"/>
          <w:lang w:eastAsia="ru-RU"/>
        </w:rPr>
        <w:t>лестниц, ведущих в подвальные и цокольные этажи принимаются</w:t>
      </w:r>
      <w:proofErr w:type="gramEnd"/>
      <w:r w:rsidRPr="00BC76E1">
        <w:rPr>
          <w:rFonts w:ascii="Times New Roman" w:eastAsia="Times New Roman" w:hAnsi="Times New Roman" w:cs="Times New Roman"/>
          <w:color w:val="666666"/>
          <w:sz w:val="24"/>
          <w:szCs w:val="24"/>
          <w:lang w:eastAsia="ru-RU"/>
        </w:rPr>
        <w:t xml:space="preserve"> в зависимости от конкретных условий и, как правило, с учетом требований СНиП 2.08.01.</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7.5. Не допускается организация стока дождевой воды с крыш на соседний участок.</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10" w:name="8"/>
      <w:bookmarkEnd w:id="10"/>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8. ИНЖЕНЕРНОЕ ОБУСТРОЙСТВО</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8.1.* Территория садоводческого (дачного) объединения должна быть оборудована системой водоснабжения, отвечающей требованиям СНиП 2.04.02.</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Снабжение хозяйственно-питьевой водой может производиться как от централизованной системы водоснабжения, так и автономно - от шахтных и </w:t>
      </w:r>
      <w:proofErr w:type="spellStart"/>
      <w:r w:rsidRPr="00BC76E1">
        <w:rPr>
          <w:rFonts w:ascii="Times New Roman" w:eastAsia="Times New Roman" w:hAnsi="Times New Roman" w:cs="Times New Roman"/>
          <w:color w:val="666666"/>
          <w:sz w:val="24"/>
          <w:szCs w:val="24"/>
          <w:lang w:eastAsia="ru-RU"/>
        </w:rPr>
        <w:t>мелкотрубчатых</w:t>
      </w:r>
      <w:proofErr w:type="spellEnd"/>
      <w:r w:rsidRPr="00BC76E1">
        <w:rPr>
          <w:rFonts w:ascii="Times New Roman" w:eastAsia="Times New Roman" w:hAnsi="Times New Roman" w:cs="Times New Roman"/>
          <w:color w:val="666666"/>
          <w:sz w:val="24"/>
          <w:szCs w:val="24"/>
          <w:lang w:eastAsia="ru-RU"/>
        </w:rPr>
        <w:t xml:space="preserve"> колодцев, каптажей родников с соблюдением требований, изложенных в СанПиН 2.1.4.027.</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Устройство ввода водопровода в дома, согласно СНиП 2.04.01, допускается при наличии местной канализации или при подключении к централизованной системе канализации.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Свободный напор воды в сети водопровода на территории садоводческого объединения должен быть не менее 0,1 МПа.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8.2.* На территории общего пользования садоводческого (дачного) объединения должны быть предусмотрены источники питьевой воды. Вокруг каждого источника организуется санитарно-защитная зона:</w:t>
      </w:r>
    </w:p>
    <w:p w:rsidR="00BC76E1" w:rsidRPr="00BC76E1" w:rsidRDefault="00BC76E1" w:rsidP="00BC76E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артезианских скважин - радиусом от 30 до 50 м (устанавливается гидрогеологами);</w:t>
      </w:r>
    </w:p>
    <w:p w:rsidR="00BC76E1" w:rsidRPr="00BC76E1" w:rsidRDefault="00BC76E1" w:rsidP="00BC76E1">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родников и колодцев - в соответствии с действующими санитарными правилами и нормами СанПиН 2.1.4.027.</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8.3.* При централизованных системах водоснабжения качество воды, подаваемой на хозяйственно-питьевые нужды, должно соответствовать санитарным правилам и нормам СанПиН 2.1.4.559-96. При нецентрализованном водоснабжении гигиенические требования к качеству питьевой воды должны соответствовать требованиям СанПиН 2.1.4.544-96.</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8.4.* Расчет систем водоснабжения производится исходя из следующих норм среднесуточного водопотребления на хозяйственно-питьевые нужды:</w:t>
      </w:r>
    </w:p>
    <w:p w:rsidR="00BC76E1" w:rsidRPr="00BC76E1" w:rsidRDefault="00BC76E1" w:rsidP="00BC76E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 водопользовании из водоразборных колонок, шахтных колодцев - 30-50 л/</w:t>
      </w:r>
      <w:proofErr w:type="spellStart"/>
      <w:r w:rsidRPr="00BC76E1">
        <w:rPr>
          <w:rFonts w:ascii="Times New Roman" w:eastAsia="Times New Roman" w:hAnsi="Times New Roman" w:cs="Times New Roman"/>
          <w:color w:val="666666"/>
          <w:sz w:val="24"/>
          <w:szCs w:val="24"/>
          <w:lang w:eastAsia="ru-RU"/>
        </w:rPr>
        <w:t>сут</w:t>
      </w:r>
      <w:proofErr w:type="spellEnd"/>
      <w:r w:rsidRPr="00BC76E1">
        <w:rPr>
          <w:rFonts w:ascii="Times New Roman" w:eastAsia="Times New Roman" w:hAnsi="Times New Roman" w:cs="Times New Roman"/>
          <w:color w:val="666666"/>
          <w:sz w:val="24"/>
          <w:szCs w:val="24"/>
          <w:lang w:eastAsia="ru-RU"/>
        </w:rPr>
        <w:t xml:space="preserve"> на 1 жителя;</w:t>
      </w:r>
    </w:p>
    <w:p w:rsidR="00BC76E1" w:rsidRPr="00BC76E1" w:rsidRDefault="00BC76E1" w:rsidP="00BC76E1">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при обеспечении внутренним водопроводом и канализацией (без ванн) - 125-160 л/</w:t>
      </w:r>
      <w:proofErr w:type="spellStart"/>
      <w:r w:rsidRPr="00BC76E1">
        <w:rPr>
          <w:rFonts w:ascii="Times New Roman" w:eastAsia="Times New Roman" w:hAnsi="Times New Roman" w:cs="Times New Roman"/>
          <w:color w:val="666666"/>
          <w:sz w:val="24"/>
          <w:szCs w:val="24"/>
          <w:lang w:eastAsia="ru-RU"/>
        </w:rPr>
        <w:t>сут</w:t>
      </w:r>
      <w:proofErr w:type="spellEnd"/>
      <w:r w:rsidRPr="00BC76E1">
        <w:rPr>
          <w:rFonts w:ascii="Times New Roman" w:eastAsia="Times New Roman" w:hAnsi="Times New Roman" w:cs="Times New Roman"/>
          <w:color w:val="666666"/>
          <w:sz w:val="24"/>
          <w:szCs w:val="24"/>
          <w:lang w:eastAsia="ru-RU"/>
        </w:rPr>
        <w:t xml:space="preserve"> на 1 жителя.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Для полива посадок на приусадебных участках:</w:t>
      </w:r>
    </w:p>
    <w:p w:rsidR="00BC76E1" w:rsidRPr="00BC76E1" w:rsidRDefault="00BC76E1" w:rsidP="00BC76E1">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овощных культур - 3-15 л/м² в сутки;</w:t>
      </w:r>
    </w:p>
    <w:p w:rsidR="00BC76E1" w:rsidRPr="00BC76E1" w:rsidRDefault="00BC76E1" w:rsidP="00BC76E1">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плодовых деревьев - 10-15 л/м² в сутки (полив предусматривается 1-2 раза в сутки в зависимости от климатических условий из водопроводной сети сезонного действия или из открытых водоемов и специально предусмотренных котлованов - накопителей воды).</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lastRenderedPageBreak/>
        <w:t>При наличии водопровода или артезианской скважины для учета расходуемой воды на водоразборных устройствах на территории общего пользования и на каждом участке следует предусматривать установку счетчиков.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8.5.* Территории садоводческих (дачных) объединений должны быть обеспечены противопожарным водоснабжением путем подключения к наружным водопроводным сетям, либо путем устройства противопожарных водоемов или резервуаров.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На наружных водопроводных сетях через каждые 100 м следует устанавливать соединительные головки для забора воды пожарными машинами.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Водонаборные башни, расположенные на территории садоводческих объединений, должны быть оборудованы устройствами (соединительными головками и т. п.) для забора воды пожарными машинами.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По согласованию с органами Государственной противопожарной службы допускается для пожаротушения использовать естественные источники, расположенные на расстоянии не более 200 м от территорий садоводческих (дачных) объединений.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Расход воды для пожаротушения следует принимать 5 л/</w:t>
      </w:r>
      <w:proofErr w:type="gramStart"/>
      <w:r w:rsidRPr="00BC76E1">
        <w:rPr>
          <w:rFonts w:ascii="Times New Roman" w:eastAsia="Times New Roman" w:hAnsi="Times New Roman" w:cs="Times New Roman"/>
          <w:color w:val="666666"/>
          <w:sz w:val="24"/>
          <w:szCs w:val="24"/>
          <w:lang w:eastAsia="ru-RU"/>
        </w:rPr>
        <w:t>с</w:t>
      </w:r>
      <w:proofErr w:type="gram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8.6. Сбор, удаление и обезвреживание нечистот могут быть </w:t>
      </w:r>
      <w:proofErr w:type="spellStart"/>
      <w:r w:rsidRPr="00BC76E1">
        <w:rPr>
          <w:rFonts w:ascii="Times New Roman" w:eastAsia="Times New Roman" w:hAnsi="Times New Roman" w:cs="Times New Roman"/>
          <w:color w:val="666666"/>
          <w:sz w:val="24"/>
          <w:szCs w:val="24"/>
          <w:lang w:eastAsia="ru-RU"/>
        </w:rPr>
        <w:t>неканализованными</w:t>
      </w:r>
      <w:proofErr w:type="spellEnd"/>
      <w:r w:rsidRPr="00BC76E1">
        <w:rPr>
          <w:rFonts w:ascii="Times New Roman" w:eastAsia="Times New Roman" w:hAnsi="Times New Roman" w:cs="Times New Roman"/>
          <w:color w:val="666666"/>
          <w:sz w:val="24"/>
          <w:szCs w:val="24"/>
          <w:lang w:eastAsia="ru-RU"/>
        </w:rPr>
        <w:t>,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СНиП 2.04.03.</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8.7. При </w:t>
      </w:r>
      <w:proofErr w:type="spellStart"/>
      <w:r w:rsidRPr="00BC76E1">
        <w:rPr>
          <w:rFonts w:ascii="Times New Roman" w:eastAsia="Times New Roman" w:hAnsi="Times New Roman" w:cs="Times New Roman"/>
          <w:color w:val="666666"/>
          <w:sz w:val="24"/>
          <w:szCs w:val="24"/>
          <w:lang w:eastAsia="ru-RU"/>
        </w:rPr>
        <w:t>неканализованном</w:t>
      </w:r>
      <w:proofErr w:type="spellEnd"/>
      <w:r w:rsidRPr="00BC76E1">
        <w:rPr>
          <w:rFonts w:ascii="Times New Roman" w:eastAsia="Times New Roman" w:hAnsi="Times New Roman" w:cs="Times New Roman"/>
          <w:color w:val="666666"/>
          <w:sz w:val="24"/>
          <w:szCs w:val="24"/>
          <w:lang w:eastAsia="ru-RU"/>
        </w:rPr>
        <w:t xml:space="preserve"> удалении фекалий надлежит обеспечивать устройства с местным компостированием - </w:t>
      </w:r>
      <w:proofErr w:type="gramStart"/>
      <w:r w:rsidRPr="00BC76E1">
        <w:rPr>
          <w:rFonts w:ascii="Times New Roman" w:eastAsia="Times New Roman" w:hAnsi="Times New Roman" w:cs="Times New Roman"/>
          <w:color w:val="666666"/>
          <w:sz w:val="24"/>
          <w:szCs w:val="24"/>
          <w:lang w:eastAsia="ru-RU"/>
        </w:rPr>
        <w:t>пудр-клозеты</w:t>
      </w:r>
      <w:proofErr w:type="gramEnd"/>
      <w:r w:rsidRPr="00BC76E1">
        <w:rPr>
          <w:rFonts w:ascii="Times New Roman" w:eastAsia="Times New Roman" w:hAnsi="Times New Roman" w:cs="Times New Roman"/>
          <w:color w:val="666666"/>
          <w:sz w:val="24"/>
          <w:szCs w:val="24"/>
          <w:lang w:eastAsia="ru-RU"/>
        </w:rPr>
        <w:t>, биотуалеты.</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Допускается использование выгребных устройств типа люфт-клозет и надворная уборная. Применение выгребных устройств должно быть согласовано в каждом отдельном случае на стадии разработки проекта с местными органами по регулированию, использованию и охране подземных вод, с учреждениями санитарно-эпидемиологической службы. Не допускается устройство люфт-клозетов в IV климатическом районе и III</w:t>
      </w:r>
      <w:proofErr w:type="gramStart"/>
      <w:r w:rsidRPr="00BC76E1">
        <w:rPr>
          <w:rFonts w:ascii="Times New Roman" w:eastAsia="Times New Roman" w:hAnsi="Times New Roman" w:cs="Times New Roman"/>
          <w:color w:val="666666"/>
          <w:sz w:val="24"/>
          <w:szCs w:val="24"/>
          <w:lang w:eastAsia="ru-RU"/>
        </w:rPr>
        <w:t xml:space="preserve"> Б</w:t>
      </w:r>
      <w:proofErr w:type="gramEnd"/>
      <w:r w:rsidRPr="00BC76E1">
        <w:rPr>
          <w:rFonts w:ascii="Times New Roman" w:eastAsia="Times New Roman" w:hAnsi="Times New Roman" w:cs="Times New Roman"/>
          <w:color w:val="666666"/>
          <w:sz w:val="24"/>
          <w:szCs w:val="24"/>
          <w:lang w:eastAsia="ru-RU"/>
        </w:rPr>
        <w:t xml:space="preserve"> подрайоне.</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8.8. Сбор и обработку стоков душа, бани, сауны и хозяйственных сточных вод следует производить в фильтровальной траншее с гравийно-песчаной засыпкой или в других очистных сооружениях.</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Допускается хозяйственные сточные воды сбрасывать в наружный кювет по специальной канаве.</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8.9. </w:t>
      </w:r>
      <w:proofErr w:type="gramStart"/>
      <w:r w:rsidRPr="00BC76E1">
        <w:rPr>
          <w:rFonts w:ascii="Times New Roman" w:eastAsia="Times New Roman" w:hAnsi="Times New Roman" w:cs="Times New Roman"/>
          <w:color w:val="666666"/>
          <w:sz w:val="24"/>
          <w:szCs w:val="24"/>
          <w:lang w:eastAsia="ru-RU"/>
        </w:rPr>
        <w:t>В отапливаемых садовых домах обогрев и горячее водоснабжение следует предусматривать от автономных систем, к которым относятся источники теплоснабжения (котел, печь и др., при устройстве печей и каминов следует выполнять требования СНиП 2.04.05, а также нагревательные приборы и водоразборная арматура.</w:t>
      </w:r>
      <w:proofErr w:type="gramEnd"/>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8.10. Газоснабжение садовых домов может быть от </w:t>
      </w:r>
      <w:proofErr w:type="spellStart"/>
      <w:r w:rsidRPr="00BC76E1">
        <w:rPr>
          <w:rFonts w:ascii="Times New Roman" w:eastAsia="Times New Roman" w:hAnsi="Times New Roman" w:cs="Times New Roman"/>
          <w:color w:val="666666"/>
          <w:sz w:val="24"/>
          <w:szCs w:val="24"/>
          <w:lang w:eastAsia="ru-RU"/>
        </w:rPr>
        <w:t>газобалонных</w:t>
      </w:r>
      <w:proofErr w:type="spellEnd"/>
      <w:r w:rsidRPr="00BC76E1">
        <w:rPr>
          <w:rFonts w:ascii="Times New Roman" w:eastAsia="Times New Roman" w:hAnsi="Times New Roman" w:cs="Times New Roman"/>
          <w:color w:val="666666"/>
          <w:sz w:val="24"/>
          <w:szCs w:val="24"/>
          <w:lang w:eastAsia="ru-RU"/>
        </w:rPr>
        <w:t xml:space="preserve"> установок сжиженного газа, от резервуарных установок со сжиженным газом или от газовых сетей. Проектирование газовых систем, установку газовых плит и приборов учета расхода газа </w:t>
      </w:r>
      <w:r w:rsidRPr="00BC76E1">
        <w:rPr>
          <w:rFonts w:ascii="Times New Roman" w:eastAsia="Times New Roman" w:hAnsi="Times New Roman" w:cs="Times New Roman"/>
          <w:color w:val="666666"/>
          <w:sz w:val="24"/>
          <w:szCs w:val="24"/>
          <w:lang w:eastAsia="ru-RU"/>
        </w:rPr>
        <w:lastRenderedPageBreak/>
        <w:t>следует осуществлять в соответствии с требованиями “Правил безопасности в газовом хозяйстве” и СНиП 2.04.08.</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8.11.* Баллоны со сжиженным газом следует хранить на промежуточном складе газовых баллонов, расположенном на территории общего пользования. Хранение баллонов на садовых (дачных) участках не допускается.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8.12. Баллоны вместимостью более 12 л для снабжения газом кухонных и других плит должны располагаться в пристройке из негорючего материала или в металлическом ящике у глухого участка наружной стены не ближе 5 м от входа в здание. На кухне, согласно требованиям НПБ 106 допускается устанавливать баллон с горючим газом вместимостью не более 12 л.</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8.13.* Сети электроснабжения на территории садоводческого (дачного) объединения следует предусматривать, как правило, воздушными линиями. Запрещается проведение воздушных линий непосредственно над участками, кроме индивидуальной проводки.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8.14. Электрооборудование и </w:t>
      </w:r>
      <w:proofErr w:type="spellStart"/>
      <w:r w:rsidRPr="00BC76E1">
        <w:rPr>
          <w:rFonts w:ascii="Times New Roman" w:eastAsia="Times New Roman" w:hAnsi="Times New Roman" w:cs="Times New Roman"/>
          <w:color w:val="666666"/>
          <w:sz w:val="24"/>
          <w:szCs w:val="24"/>
          <w:lang w:eastAsia="ru-RU"/>
        </w:rPr>
        <w:t>молниезащиту</w:t>
      </w:r>
      <w:proofErr w:type="spellEnd"/>
      <w:r w:rsidRPr="00BC76E1">
        <w:rPr>
          <w:rFonts w:ascii="Times New Roman" w:eastAsia="Times New Roman" w:hAnsi="Times New Roman" w:cs="Times New Roman"/>
          <w:color w:val="666666"/>
          <w:sz w:val="24"/>
          <w:szCs w:val="24"/>
          <w:lang w:eastAsia="ru-RU"/>
        </w:rPr>
        <w:t xml:space="preserve"> садовых домов и хозяйственных построек следует проектировать в соответствии с требованиями Правил устройства электроустановок (ПУЭ), РД 34.21.122, ВСН 59 и НПБ 106.</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8.15.* В жилом строении (доме) следует предусматривать установку счетчика для учета потребляемой электроэнергии.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8.16.* На улицах и проездах территории садоводческого (дачного) объединения следует предусматривать наружное освещение, управление которым осуществляется, как правило, из </w:t>
      </w:r>
      <w:proofErr w:type="gramStart"/>
      <w:r w:rsidRPr="00BC76E1">
        <w:rPr>
          <w:rFonts w:ascii="Times New Roman" w:eastAsia="Times New Roman" w:hAnsi="Times New Roman" w:cs="Times New Roman"/>
          <w:color w:val="666666"/>
          <w:sz w:val="24"/>
          <w:szCs w:val="24"/>
          <w:lang w:eastAsia="ru-RU"/>
        </w:rPr>
        <w:t>сторожки</w:t>
      </w:r>
      <w:proofErr w:type="gramEnd"/>
      <w:r w:rsidRPr="00BC76E1">
        <w:rPr>
          <w:rFonts w:ascii="Times New Roman" w:eastAsia="Times New Roman" w:hAnsi="Times New Roman" w:cs="Times New Roman"/>
          <w:color w:val="666666"/>
          <w:sz w:val="24"/>
          <w:szCs w:val="24"/>
          <w:lang w:eastAsia="ru-RU"/>
        </w:rPr>
        <w:t>.</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 xml:space="preserve">8.17. Помещение </w:t>
      </w:r>
      <w:proofErr w:type="gramStart"/>
      <w:r w:rsidRPr="00BC76E1">
        <w:rPr>
          <w:rFonts w:ascii="Times New Roman" w:eastAsia="Times New Roman" w:hAnsi="Times New Roman" w:cs="Times New Roman"/>
          <w:color w:val="666666"/>
          <w:sz w:val="24"/>
          <w:szCs w:val="24"/>
          <w:lang w:eastAsia="ru-RU"/>
        </w:rPr>
        <w:t>сторожки</w:t>
      </w:r>
      <w:proofErr w:type="gramEnd"/>
      <w:r w:rsidRPr="00BC76E1">
        <w:rPr>
          <w:rFonts w:ascii="Times New Roman" w:eastAsia="Times New Roman" w:hAnsi="Times New Roman" w:cs="Times New Roman"/>
          <w:color w:val="666666"/>
          <w:sz w:val="24"/>
          <w:szCs w:val="24"/>
          <w:lang w:eastAsia="ru-RU"/>
        </w:rPr>
        <w:t xml:space="preserve"> должно быть обеспечено телефонной или радиосвязью с ближайшим населенным пунктом, позволяющей осуществлять вызов неотложной медицинской помощи, пожарной, милицейской и аварийных служб.</w:t>
      </w:r>
    </w:p>
    <w:p w:rsidR="00BC76E1" w:rsidRPr="00BC76E1" w:rsidRDefault="00BC76E1" w:rsidP="00BC76E1">
      <w:pPr>
        <w:shd w:val="clear" w:color="auto" w:fill="FFFFFF"/>
        <w:spacing w:after="0" w:line="240" w:lineRule="auto"/>
        <w:jc w:val="both"/>
        <w:rPr>
          <w:rFonts w:ascii="Times New Roman" w:eastAsia="Times New Roman" w:hAnsi="Times New Roman" w:cs="Times New Roman"/>
          <w:color w:val="666666"/>
          <w:sz w:val="24"/>
          <w:szCs w:val="24"/>
          <w:lang w:eastAsia="ru-RU"/>
        </w:rPr>
      </w:pPr>
      <w:bookmarkStart w:id="11" w:name="9"/>
      <w:bookmarkEnd w:id="11"/>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ПРИЛОЖЕНИЕ 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color w:val="666666"/>
          <w:sz w:val="24"/>
          <w:szCs w:val="24"/>
          <w:lang w:eastAsia="ru-RU"/>
        </w:rPr>
        <w:t>(обязательное)</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Термины и определения</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Биотуалет </w:t>
      </w:r>
      <w:r w:rsidRPr="00BC76E1">
        <w:rPr>
          <w:rFonts w:ascii="Times New Roman" w:eastAsia="Times New Roman" w:hAnsi="Times New Roman" w:cs="Times New Roman"/>
          <w:color w:val="666666"/>
          <w:sz w:val="24"/>
          <w:szCs w:val="24"/>
          <w:lang w:eastAsia="ru-RU"/>
        </w:rPr>
        <w:t xml:space="preserve">- устройство для переработки фекальных отходов в органическое удобрение путем использования биологического процесса окисления, активизированного </w:t>
      </w:r>
      <w:proofErr w:type="spellStart"/>
      <w:r w:rsidRPr="00BC76E1">
        <w:rPr>
          <w:rFonts w:ascii="Times New Roman" w:eastAsia="Times New Roman" w:hAnsi="Times New Roman" w:cs="Times New Roman"/>
          <w:color w:val="666666"/>
          <w:sz w:val="24"/>
          <w:szCs w:val="24"/>
          <w:lang w:eastAsia="ru-RU"/>
        </w:rPr>
        <w:t>электроподогревом</w:t>
      </w:r>
      <w:proofErr w:type="spellEnd"/>
      <w:r w:rsidRPr="00BC76E1">
        <w:rPr>
          <w:rFonts w:ascii="Times New Roman" w:eastAsia="Times New Roman" w:hAnsi="Times New Roman" w:cs="Times New Roman"/>
          <w:color w:val="666666"/>
          <w:sz w:val="24"/>
          <w:szCs w:val="24"/>
          <w:lang w:eastAsia="ru-RU"/>
        </w:rPr>
        <w:t xml:space="preserve"> или химическими добавками.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Веранда</w:t>
      </w:r>
      <w:r w:rsidRPr="00BC76E1">
        <w:rPr>
          <w:rFonts w:ascii="Times New Roman" w:eastAsia="Times New Roman" w:hAnsi="Times New Roman" w:cs="Times New Roman"/>
          <w:color w:val="666666"/>
          <w:sz w:val="24"/>
          <w:szCs w:val="24"/>
          <w:lang w:eastAsia="ru-RU"/>
        </w:rPr>
        <w:t> - застекленное неотапливаемое помещение, пристроенное к дому или встроенное в него.</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Жилое строение</w:t>
      </w:r>
      <w:r w:rsidRPr="00BC76E1">
        <w:rPr>
          <w:rFonts w:ascii="Times New Roman" w:eastAsia="Times New Roman" w:hAnsi="Times New Roman" w:cs="Times New Roman"/>
          <w:color w:val="666666"/>
          <w:sz w:val="24"/>
          <w:szCs w:val="24"/>
          <w:lang w:eastAsia="ru-RU"/>
        </w:rPr>
        <w:t> - дом, возводимый на садовом (дачном) земельном участке, без права регистрации проживания в нем.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Жилой дом</w:t>
      </w:r>
      <w:r w:rsidRPr="00BC76E1">
        <w:rPr>
          <w:rFonts w:ascii="Times New Roman" w:eastAsia="Times New Roman" w:hAnsi="Times New Roman" w:cs="Times New Roman"/>
          <w:color w:val="666666"/>
          <w:sz w:val="24"/>
          <w:szCs w:val="24"/>
          <w:lang w:eastAsia="ru-RU"/>
        </w:rPr>
        <w:t> - дом, возводимый на садовом (дачном) участке, с правом регистрации проживания в нем.</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lastRenderedPageBreak/>
        <w:t>Жилая площадь жилого строения (или дома)</w:t>
      </w:r>
      <w:r w:rsidRPr="00BC76E1">
        <w:rPr>
          <w:rFonts w:ascii="Times New Roman" w:eastAsia="Times New Roman" w:hAnsi="Times New Roman" w:cs="Times New Roman"/>
          <w:color w:val="666666"/>
          <w:sz w:val="24"/>
          <w:szCs w:val="24"/>
          <w:lang w:eastAsia="ru-RU"/>
        </w:rPr>
        <w:t> - сумма площадей жилых комнат.</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Каптаж</w:t>
      </w:r>
      <w:r w:rsidRPr="00BC76E1">
        <w:rPr>
          <w:rFonts w:ascii="Times New Roman" w:eastAsia="Times New Roman" w:hAnsi="Times New Roman" w:cs="Times New Roman"/>
          <w:color w:val="666666"/>
          <w:sz w:val="24"/>
          <w:szCs w:val="24"/>
          <w:lang w:eastAsia="ru-RU"/>
        </w:rPr>
        <w:t> - сооружение (каменная наброска, колодец, траншея) для перехвата и сбора подземных вод в местах их вывода на поверхность.</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Красные линии</w:t>
      </w:r>
      <w:r w:rsidRPr="00BC76E1">
        <w:rPr>
          <w:rFonts w:ascii="Times New Roman" w:eastAsia="Times New Roman" w:hAnsi="Times New Roman" w:cs="Times New Roman"/>
          <w:color w:val="666666"/>
          <w:sz w:val="24"/>
          <w:szCs w:val="24"/>
          <w:lang w:eastAsia="ru-RU"/>
        </w:rPr>
        <w:t> - границы улиц, проездов.</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Крыльцо</w:t>
      </w:r>
      <w:r w:rsidRPr="00BC76E1">
        <w:rPr>
          <w:rFonts w:ascii="Times New Roman" w:eastAsia="Times New Roman" w:hAnsi="Times New Roman" w:cs="Times New Roman"/>
          <w:color w:val="666666"/>
          <w:sz w:val="24"/>
          <w:szCs w:val="24"/>
          <w:lang w:eastAsia="ru-RU"/>
        </w:rPr>
        <w:t> - наружная пристройка при входе в дом с площадкой и лестницей.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Люфт-клозет</w:t>
      </w:r>
      <w:r w:rsidRPr="00BC76E1">
        <w:rPr>
          <w:rFonts w:ascii="Times New Roman" w:eastAsia="Times New Roman" w:hAnsi="Times New Roman" w:cs="Times New Roman"/>
          <w:color w:val="666666"/>
          <w:sz w:val="24"/>
          <w:szCs w:val="24"/>
          <w:lang w:eastAsia="ru-RU"/>
        </w:rPr>
        <w:t> - внутридомовая теплая уборная с подземным выгребом, в который фекалии поступают через сточную (фановую) трубу. Вентиляция осуществляется через специальный люфт-канал, примыкающий к обогревательным устройствам, а выгребной люк располагается снаружи.</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Надворная уборная</w:t>
      </w:r>
      <w:r w:rsidRPr="00BC76E1">
        <w:rPr>
          <w:rFonts w:ascii="Times New Roman" w:eastAsia="Times New Roman" w:hAnsi="Times New Roman" w:cs="Times New Roman"/>
          <w:color w:val="666666"/>
          <w:sz w:val="24"/>
          <w:szCs w:val="24"/>
          <w:lang w:eastAsia="ru-RU"/>
        </w:rPr>
        <w:t> - легкая постройка, размещаемая над выгребной ямой.</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Общая площадь жилого строения (или дома)</w:t>
      </w:r>
      <w:r w:rsidRPr="00BC76E1">
        <w:rPr>
          <w:rFonts w:ascii="Times New Roman" w:eastAsia="Times New Roman" w:hAnsi="Times New Roman" w:cs="Times New Roman"/>
          <w:color w:val="666666"/>
          <w:sz w:val="24"/>
          <w:szCs w:val="24"/>
          <w:lang w:eastAsia="ru-RU"/>
        </w:rPr>
        <w:t> - сумма площадей его помещений, встроенных шкафов, а также лоджий, балконов, веранд, террас и холодных кладовых, подсчитываемых со следующими понижающими коэффициентами: для лоджий - 0,5, для балконов и террас - 0,3, для веранд и холодных кладовых - 1,0.</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proofErr w:type="gramStart"/>
      <w:r w:rsidRPr="00BC76E1">
        <w:rPr>
          <w:rFonts w:ascii="Times New Roman" w:eastAsia="Times New Roman" w:hAnsi="Times New Roman" w:cs="Times New Roman"/>
          <w:color w:val="666666"/>
          <w:sz w:val="24"/>
          <w:szCs w:val="24"/>
          <w:lang w:eastAsia="ru-RU"/>
        </w:rPr>
        <w:t>Площадь</w:t>
      </w:r>
      <w:proofErr w:type="gramEnd"/>
      <w:r w:rsidRPr="00BC76E1">
        <w:rPr>
          <w:rFonts w:ascii="Times New Roman" w:eastAsia="Times New Roman" w:hAnsi="Times New Roman" w:cs="Times New Roman"/>
          <w:color w:val="666666"/>
          <w:sz w:val="24"/>
          <w:szCs w:val="24"/>
          <w:lang w:eastAsia="ru-RU"/>
        </w:rPr>
        <w:t xml:space="preserve"> занимаемая печью, в площадь помещений не включается. Площадь под маршем внутриквартирной лестницы при высоте пола до низа выступающих конструкций 1,6 м и более включается в площадь помещений, где расположена лестница.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Проезд</w:t>
      </w:r>
      <w:r w:rsidRPr="00BC76E1">
        <w:rPr>
          <w:rFonts w:ascii="Times New Roman" w:eastAsia="Times New Roman" w:hAnsi="Times New Roman" w:cs="Times New Roman"/>
          <w:color w:val="666666"/>
          <w:sz w:val="24"/>
          <w:szCs w:val="24"/>
          <w:lang w:eastAsia="ru-RU"/>
        </w:rPr>
        <w:t> - территория, предназначенная для движения транспорта и переходов, включающая однополосную проезжую часть, обочины, кюветы и укрепляющие бермы.</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proofErr w:type="gramStart"/>
      <w:r w:rsidRPr="00BC76E1">
        <w:rPr>
          <w:rFonts w:ascii="Times New Roman" w:eastAsia="Times New Roman" w:hAnsi="Times New Roman" w:cs="Times New Roman"/>
          <w:b/>
          <w:bCs/>
          <w:color w:val="666666"/>
          <w:sz w:val="24"/>
          <w:szCs w:val="24"/>
          <w:lang w:eastAsia="ru-RU"/>
        </w:rPr>
        <w:t>Пудр-клозет</w:t>
      </w:r>
      <w:proofErr w:type="gramEnd"/>
      <w:r w:rsidRPr="00BC76E1">
        <w:rPr>
          <w:rFonts w:ascii="Times New Roman" w:eastAsia="Times New Roman" w:hAnsi="Times New Roman" w:cs="Times New Roman"/>
          <w:color w:val="666666"/>
          <w:sz w:val="24"/>
          <w:szCs w:val="24"/>
          <w:lang w:eastAsia="ru-RU"/>
        </w:rPr>
        <w:t> - туалет, в котором фекальные отходы подвергаются обработке порошкообразным составом, как правило, торфом и содержатся в сухом виде в изолированной емкости (осмоленный ящик с крышкой) до образования компоста.</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proofErr w:type="gramStart"/>
      <w:r w:rsidRPr="00BC76E1">
        <w:rPr>
          <w:rFonts w:ascii="Times New Roman" w:eastAsia="Times New Roman" w:hAnsi="Times New Roman" w:cs="Times New Roman"/>
          <w:b/>
          <w:bCs/>
          <w:color w:val="666666"/>
          <w:sz w:val="24"/>
          <w:szCs w:val="24"/>
          <w:lang w:eastAsia="ru-RU"/>
        </w:rPr>
        <w:t>Садоводческое (дачное) объединение граждан</w:t>
      </w:r>
      <w:r w:rsidRPr="00BC76E1">
        <w:rPr>
          <w:rFonts w:ascii="Times New Roman" w:eastAsia="Times New Roman" w:hAnsi="Times New Roman" w:cs="Times New Roman"/>
          <w:color w:val="666666"/>
          <w:sz w:val="24"/>
          <w:szCs w:val="24"/>
          <w:lang w:eastAsia="ru-RU"/>
        </w:rPr>
        <w:t> - юридическая форма добровольной организации граждан для ведения садоводства и огородничества в индивидуальном (семейном) порядке, создаваемая и управляемая в соответствии с действующими федеральным и региональным законодательствами и актами местного самоуправления.</w:t>
      </w:r>
      <w:proofErr w:type="gramEnd"/>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Терраса</w:t>
      </w:r>
      <w:r w:rsidRPr="00BC76E1">
        <w:rPr>
          <w:rFonts w:ascii="Times New Roman" w:eastAsia="Times New Roman" w:hAnsi="Times New Roman" w:cs="Times New Roman"/>
          <w:color w:val="666666"/>
          <w:sz w:val="24"/>
          <w:szCs w:val="24"/>
          <w:lang w:eastAsia="ru-RU"/>
        </w:rPr>
        <w:t xml:space="preserve"> - огражденная открытая площадка, пристроенная к дому, размещаемая на земле или над </w:t>
      </w:r>
      <w:proofErr w:type="gramStart"/>
      <w:r w:rsidRPr="00BC76E1">
        <w:rPr>
          <w:rFonts w:ascii="Times New Roman" w:eastAsia="Times New Roman" w:hAnsi="Times New Roman" w:cs="Times New Roman"/>
          <w:color w:val="666666"/>
          <w:sz w:val="24"/>
          <w:szCs w:val="24"/>
          <w:lang w:eastAsia="ru-RU"/>
        </w:rPr>
        <w:t>ниже расположенным</w:t>
      </w:r>
      <w:proofErr w:type="gramEnd"/>
      <w:r w:rsidRPr="00BC76E1">
        <w:rPr>
          <w:rFonts w:ascii="Times New Roman" w:eastAsia="Times New Roman" w:hAnsi="Times New Roman" w:cs="Times New Roman"/>
          <w:color w:val="666666"/>
          <w:sz w:val="24"/>
          <w:szCs w:val="24"/>
          <w:lang w:eastAsia="ru-RU"/>
        </w:rPr>
        <w:t xml:space="preserve"> этажом и, как правило, имеющая крышу.</w:t>
      </w:r>
    </w:p>
    <w:p w:rsidR="00BC76E1" w:rsidRPr="00BC76E1" w:rsidRDefault="00BC76E1" w:rsidP="00BC76E1">
      <w:pPr>
        <w:shd w:val="clear" w:color="auto" w:fill="FFFFFF"/>
        <w:spacing w:before="100" w:beforeAutospacing="1" w:after="100" w:afterAutospacing="1" w:line="240" w:lineRule="auto"/>
        <w:jc w:val="both"/>
        <w:rPr>
          <w:rFonts w:ascii="Times New Roman" w:eastAsia="Times New Roman" w:hAnsi="Times New Roman" w:cs="Times New Roman"/>
          <w:color w:val="666666"/>
          <w:sz w:val="24"/>
          <w:szCs w:val="24"/>
          <w:lang w:eastAsia="ru-RU"/>
        </w:rPr>
      </w:pPr>
      <w:r w:rsidRPr="00BC76E1">
        <w:rPr>
          <w:rFonts w:ascii="Times New Roman" w:eastAsia="Times New Roman" w:hAnsi="Times New Roman" w:cs="Times New Roman"/>
          <w:b/>
          <w:bCs/>
          <w:color w:val="666666"/>
          <w:sz w:val="24"/>
          <w:szCs w:val="24"/>
          <w:lang w:eastAsia="ru-RU"/>
        </w:rPr>
        <w:t>Улица</w:t>
      </w:r>
      <w:r w:rsidRPr="00BC76E1">
        <w:rPr>
          <w:rFonts w:ascii="Times New Roman" w:eastAsia="Times New Roman" w:hAnsi="Times New Roman" w:cs="Times New Roman"/>
          <w:color w:val="666666"/>
          <w:sz w:val="24"/>
          <w:szCs w:val="24"/>
          <w:lang w:eastAsia="ru-RU"/>
        </w:rPr>
        <w:t xml:space="preserve"> - территория, предназначенная для движения транспорта и пешеходов, включающая </w:t>
      </w:r>
      <w:proofErr w:type="spellStart"/>
      <w:r w:rsidRPr="00BC76E1">
        <w:rPr>
          <w:rFonts w:ascii="Times New Roman" w:eastAsia="Times New Roman" w:hAnsi="Times New Roman" w:cs="Times New Roman"/>
          <w:color w:val="666666"/>
          <w:sz w:val="24"/>
          <w:szCs w:val="24"/>
          <w:lang w:eastAsia="ru-RU"/>
        </w:rPr>
        <w:t>двуполосную</w:t>
      </w:r>
      <w:proofErr w:type="spellEnd"/>
      <w:r w:rsidRPr="00BC76E1">
        <w:rPr>
          <w:rFonts w:ascii="Times New Roman" w:eastAsia="Times New Roman" w:hAnsi="Times New Roman" w:cs="Times New Roman"/>
          <w:color w:val="666666"/>
          <w:sz w:val="24"/>
          <w:szCs w:val="24"/>
          <w:lang w:eastAsia="ru-RU"/>
        </w:rPr>
        <w:t xml:space="preserve"> проезжую часть, обочины, кюветы и укрепляющие бермы.</w:t>
      </w:r>
    </w:p>
    <w:p w:rsidR="00AC7387" w:rsidRPr="00BC76E1" w:rsidRDefault="00AC7387" w:rsidP="00BC76E1">
      <w:pPr>
        <w:jc w:val="both"/>
        <w:rPr>
          <w:rFonts w:ascii="Times New Roman" w:hAnsi="Times New Roman" w:cs="Times New Roman"/>
          <w:sz w:val="24"/>
          <w:szCs w:val="24"/>
        </w:rPr>
      </w:pPr>
    </w:p>
    <w:sectPr w:rsidR="00AC7387" w:rsidRPr="00BC76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58B"/>
    <w:multiLevelType w:val="multilevel"/>
    <w:tmpl w:val="B10A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10680"/>
    <w:multiLevelType w:val="multilevel"/>
    <w:tmpl w:val="3E6E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042B4"/>
    <w:multiLevelType w:val="multilevel"/>
    <w:tmpl w:val="743E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ED3E4B"/>
    <w:multiLevelType w:val="multilevel"/>
    <w:tmpl w:val="03F4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252FB"/>
    <w:multiLevelType w:val="multilevel"/>
    <w:tmpl w:val="744C2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D96416"/>
    <w:multiLevelType w:val="multilevel"/>
    <w:tmpl w:val="B51A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0146FB"/>
    <w:multiLevelType w:val="multilevel"/>
    <w:tmpl w:val="938E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513E1"/>
    <w:multiLevelType w:val="multilevel"/>
    <w:tmpl w:val="BBB8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9F5F4D"/>
    <w:multiLevelType w:val="multilevel"/>
    <w:tmpl w:val="914A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CF60DF"/>
    <w:multiLevelType w:val="multilevel"/>
    <w:tmpl w:val="186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5D269B"/>
    <w:multiLevelType w:val="multilevel"/>
    <w:tmpl w:val="9B88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9"/>
  </w:num>
  <w:num w:numId="4">
    <w:abstractNumId w:val="8"/>
  </w:num>
  <w:num w:numId="5">
    <w:abstractNumId w:val="2"/>
  </w:num>
  <w:num w:numId="6">
    <w:abstractNumId w:val="10"/>
  </w:num>
  <w:num w:numId="7">
    <w:abstractNumId w:val="3"/>
  </w:num>
  <w:num w:numId="8">
    <w:abstractNumId w:val="6"/>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EA0"/>
    <w:rsid w:val="002D6C98"/>
    <w:rsid w:val="005E6F16"/>
    <w:rsid w:val="00AC7387"/>
    <w:rsid w:val="00BC76E1"/>
    <w:rsid w:val="00FA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930579">
      <w:bodyDiv w:val="1"/>
      <w:marLeft w:val="0"/>
      <w:marRight w:val="0"/>
      <w:marTop w:val="0"/>
      <w:marBottom w:val="0"/>
      <w:divBdr>
        <w:top w:val="none" w:sz="0" w:space="0" w:color="auto"/>
        <w:left w:val="none" w:sz="0" w:space="0" w:color="auto"/>
        <w:bottom w:val="none" w:sz="0" w:space="0" w:color="auto"/>
        <w:right w:val="none" w:sz="0" w:space="0" w:color="auto"/>
      </w:divBdr>
      <w:divsChild>
        <w:div w:id="2061900893">
          <w:marLeft w:val="0"/>
          <w:marRight w:val="0"/>
          <w:marTop w:val="0"/>
          <w:marBottom w:val="0"/>
          <w:divBdr>
            <w:top w:val="none" w:sz="0" w:space="0" w:color="auto"/>
            <w:left w:val="none" w:sz="0" w:space="0" w:color="auto"/>
            <w:bottom w:val="none" w:sz="0" w:space="0" w:color="auto"/>
            <w:right w:val="none" w:sz="0" w:space="0" w:color="auto"/>
          </w:divBdr>
        </w:div>
        <w:div w:id="1289161548">
          <w:marLeft w:val="0"/>
          <w:marRight w:val="0"/>
          <w:marTop w:val="0"/>
          <w:marBottom w:val="0"/>
          <w:divBdr>
            <w:top w:val="none" w:sz="0" w:space="0" w:color="auto"/>
            <w:left w:val="none" w:sz="0" w:space="0" w:color="auto"/>
            <w:bottom w:val="none" w:sz="0" w:space="0" w:color="auto"/>
            <w:right w:val="none" w:sz="0" w:space="0" w:color="auto"/>
          </w:divBdr>
          <w:divsChild>
            <w:div w:id="1658025897">
              <w:marLeft w:val="0"/>
              <w:marRight w:val="0"/>
              <w:marTop w:val="0"/>
              <w:marBottom w:val="0"/>
              <w:divBdr>
                <w:top w:val="none" w:sz="0" w:space="0" w:color="auto"/>
                <w:left w:val="none" w:sz="0" w:space="0" w:color="auto"/>
                <w:bottom w:val="none" w:sz="0" w:space="0" w:color="auto"/>
                <w:right w:val="none" w:sz="0" w:space="0" w:color="auto"/>
              </w:divBdr>
              <w:divsChild>
                <w:div w:id="2057579602">
                  <w:marLeft w:val="0"/>
                  <w:marRight w:val="0"/>
                  <w:marTop w:val="0"/>
                  <w:marBottom w:val="0"/>
                  <w:divBdr>
                    <w:top w:val="none" w:sz="0" w:space="0" w:color="auto"/>
                    <w:left w:val="none" w:sz="0" w:space="0" w:color="auto"/>
                    <w:bottom w:val="none" w:sz="0" w:space="0" w:color="auto"/>
                    <w:right w:val="none" w:sz="0" w:space="0" w:color="auto"/>
                  </w:divBdr>
                </w:div>
                <w:div w:id="1763798966">
                  <w:marLeft w:val="0"/>
                  <w:marRight w:val="0"/>
                  <w:marTop w:val="0"/>
                  <w:marBottom w:val="0"/>
                  <w:divBdr>
                    <w:top w:val="none" w:sz="0" w:space="0" w:color="auto"/>
                    <w:left w:val="none" w:sz="0" w:space="0" w:color="auto"/>
                    <w:bottom w:val="none" w:sz="0" w:space="0" w:color="auto"/>
                    <w:right w:val="none" w:sz="0" w:space="0" w:color="auto"/>
                  </w:divBdr>
                </w:div>
                <w:div w:id="1374621181">
                  <w:marLeft w:val="0"/>
                  <w:marRight w:val="0"/>
                  <w:marTop w:val="0"/>
                  <w:marBottom w:val="0"/>
                  <w:divBdr>
                    <w:top w:val="none" w:sz="0" w:space="0" w:color="auto"/>
                    <w:left w:val="none" w:sz="0" w:space="0" w:color="auto"/>
                    <w:bottom w:val="none" w:sz="0" w:space="0" w:color="auto"/>
                    <w:right w:val="none" w:sz="0" w:space="0" w:color="auto"/>
                  </w:divBdr>
                </w:div>
                <w:div w:id="646476560">
                  <w:marLeft w:val="0"/>
                  <w:marRight w:val="0"/>
                  <w:marTop w:val="0"/>
                  <w:marBottom w:val="0"/>
                  <w:divBdr>
                    <w:top w:val="none" w:sz="0" w:space="0" w:color="auto"/>
                    <w:left w:val="none" w:sz="0" w:space="0" w:color="auto"/>
                    <w:bottom w:val="none" w:sz="0" w:space="0" w:color="auto"/>
                    <w:right w:val="none" w:sz="0" w:space="0" w:color="auto"/>
                  </w:divBdr>
                </w:div>
                <w:div w:id="1643806090">
                  <w:marLeft w:val="0"/>
                  <w:marRight w:val="0"/>
                  <w:marTop w:val="0"/>
                  <w:marBottom w:val="0"/>
                  <w:divBdr>
                    <w:top w:val="none" w:sz="0" w:space="0" w:color="auto"/>
                    <w:left w:val="none" w:sz="0" w:space="0" w:color="auto"/>
                    <w:bottom w:val="none" w:sz="0" w:space="0" w:color="auto"/>
                    <w:right w:val="none" w:sz="0" w:space="0" w:color="auto"/>
                  </w:divBdr>
                </w:div>
                <w:div w:id="1073694935">
                  <w:marLeft w:val="0"/>
                  <w:marRight w:val="0"/>
                  <w:marTop w:val="0"/>
                  <w:marBottom w:val="0"/>
                  <w:divBdr>
                    <w:top w:val="none" w:sz="0" w:space="0" w:color="auto"/>
                    <w:left w:val="none" w:sz="0" w:space="0" w:color="auto"/>
                    <w:bottom w:val="none" w:sz="0" w:space="0" w:color="auto"/>
                    <w:right w:val="none" w:sz="0" w:space="0" w:color="auto"/>
                  </w:divBdr>
                </w:div>
                <w:div w:id="55396591">
                  <w:marLeft w:val="0"/>
                  <w:marRight w:val="0"/>
                  <w:marTop w:val="0"/>
                  <w:marBottom w:val="0"/>
                  <w:divBdr>
                    <w:top w:val="none" w:sz="0" w:space="0" w:color="auto"/>
                    <w:left w:val="none" w:sz="0" w:space="0" w:color="auto"/>
                    <w:bottom w:val="none" w:sz="0" w:space="0" w:color="auto"/>
                    <w:right w:val="none" w:sz="0" w:space="0" w:color="auto"/>
                  </w:divBdr>
                </w:div>
                <w:div w:id="627394576">
                  <w:marLeft w:val="0"/>
                  <w:marRight w:val="0"/>
                  <w:marTop w:val="0"/>
                  <w:marBottom w:val="0"/>
                  <w:divBdr>
                    <w:top w:val="none" w:sz="0" w:space="0" w:color="auto"/>
                    <w:left w:val="none" w:sz="0" w:space="0" w:color="auto"/>
                    <w:bottom w:val="none" w:sz="0" w:space="0" w:color="auto"/>
                    <w:right w:val="none" w:sz="0" w:space="0" w:color="auto"/>
                  </w:divBdr>
                </w:div>
                <w:div w:id="91050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landshaft.ru/norm/detail/1558/" TargetMode="External"/><Relationship Id="rId13" Type="http://schemas.openxmlformats.org/officeDocument/2006/relationships/hyperlink" Target="http://www.pro-landshaft.ru/norm/detail/1558/" TargetMode="External"/><Relationship Id="rId18" Type="http://schemas.openxmlformats.org/officeDocument/2006/relationships/hyperlink" Target="http://www.pro-landshaft.ru/norm/detail/1558/" TargetMode="External"/><Relationship Id="rId3" Type="http://schemas.microsoft.com/office/2007/relationships/stylesWithEffects" Target="stylesWithEffects.xml"/><Relationship Id="rId7" Type="http://schemas.openxmlformats.org/officeDocument/2006/relationships/hyperlink" Target="http://www.pro-landshaft.ru/norm/detail/1558/" TargetMode="External"/><Relationship Id="rId12" Type="http://schemas.openxmlformats.org/officeDocument/2006/relationships/hyperlink" Target="http://www.pro-landshaft.ru/norm/detail/1558/" TargetMode="External"/><Relationship Id="rId17" Type="http://schemas.openxmlformats.org/officeDocument/2006/relationships/hyperlink" Target="http://www.pro-landshaft.ru/articles/detail/2579/" TargetMode="External"/><Relationship Id="rId2" Type="http://schemas.openxmlformats.org/officeDocument/2006/relationships/styles" Target="styles.xml"/><Relationship Id="rId16" Type="http://schemas.openxmlformats.org/officeDocument/2006/relationships/hyperlink" Target="http://www.pro-landshaft.ru/norm/detail/155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ro-landshaft.ru/norm/detail/1558/" TargetMode="External"/><Relationship Id="rId11" Type="http://schemas.openxmlformats.org/officeDocument/2006/relationships/hyperlink" Target="http://www.pro-landshaft.ru/norm/detail/1558/" TargetMode="External"/><Relationship Id="rId5" Type="http://schemas.openxmlformats.org/officeDocument/2006/relationships/webSettings" Target="webSettings.xml"/><Relationship Id="rId15" Type="http://schemas.openxmlformats.org/officeDocument/2006/relationships/hyperlink" Target="http://www.pro-landshaft.ru/norm/detail/1558/" TargetMode="External"/><Relationship Id="rId10" Type="http://schemas.openxmlformats.org/officeDocument/2006/relationships/hyperlink" Target="http://www.pro-landshaft.ru/norm/detail/155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o-landshaft.ru/norm/detail/1558/" TargetMode="External"/><Relationship Id="rId14" Type="http://schemas.openxmlformats.org/officeDocument/2006/relationships/hyperlink" Target="http://www.pro-landshaft.ru/norm/detail/15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4411</Words>
  <Characters>25147</Characters>
  <Application>Microsoft Office Word</Application>
  <DocSecurity>0</DocSecurity>
  <Lines>209</Lines>
  <Paragraphs>58</Paragraphs>
  <ScaleCrop>false</ScaleCrop>
  <Company>SPecialiST RePack</Company>
  <LinksUpToDate>false</LinksUpToDate>
  <CharactersWithSpaces>29500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2</cp:revision>
  <dcterms:created xsi:type="dcterms:W3CDTF">2016-01-22T08:45:00Z</dcterms:created>
  <dcterms:modified xsi:type="dcterms:W3CDTF">2016-01-22T08:47:00Z</dcterms:modified>
</cp:coreProperties>
</file>